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A3A0" w14:textId="77777777" w:rsidR="00E132E2" w:rsidRPr="00E132E2" w:rsidRDefault="00E132E2" w:rsidP="00E132E2">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E132E2">
        <w:rPr>
          <w:rFonts w:ascii="Georgia" w:eastAsia="Times New Roman" w:hAnsi="Georgia" w:cs="Helvetica"/>
          <w:color w:val="333333"/>
          <w:kern w:val="36"/>
          <w:sz w:val="48"/>
          <w:szCs w:val="48"/>
          <w:lang w:eastAsia="en-CA"/>
          <w14:ligatures w14:val="none"/>
        </w:rPr>
        <w:t xml:space="preserve">Investors should take a pass on this market-linked </w:t>
      </w:r>
      <w:proofErr w:type="gramStart"/>
      <w:r w:rsidRPr="00E132E2">
        <w:rPr>
          <w:rFonts w:ascii="Georgia" w:eastAsia="Times New Roman" w:hAnsi="Georgia" w:cs="Helvetica"/>
          <w:color w:val="333333"/>
          <w:kern w:val="36"/>
          <w:sz w:val="48"/>
          <w:szCs w:val="48"/>
          <w:lang w:eastAsia="en-CA"/>
          <w14:ligatures w14:val="none"/>
        </w:rPr>
        <w:t>GIC</w:t>
      </w:r>
      <w:proofErr w:type="gramEnd"/>
    </w:p>
    <w:p w14:paraId="3FDCD6D0" w14:textId="77777777" w:rsidR="00E132E2" w:rsidRPr="00E132E2" w:rsidRDefault="00E132E2" w:rsidP="00E132E2">
      <w:pPr>
        <w:shd w:val="clear" w:color="auto" w:fill="FFFFFF"/>
        <w:spacing w:after="0" w:line="240" w:lineRule="auto"/>
        <w:rPr>
          <w:rFonts w:ascii="Helvetica" w:eastAsia="Times New Roman" w:hAnsi="Helvetica" w:cs="Helvetica"/>
          <w:caps/>
          <w:color w:val="333333"/>
          <w:kern w:val="0"/>
          <w:sz w:val="24"/>
          <w:szCs w:val="24"/>
          <w:lang w:eastAsia="en-CA"/>
          <w14:ligatures w14:val="none"/>
        </w:rPr>
      </w:pPr>
      <w:r w:rsidRPr="00E132E2">
        <w:rPr>
          <w:rFonts w:ascii="Helvetica" w:eastAsia="Times New Roman" w:hAnsi="Helvetica" w:cs="Helvetica"/>
          <w:caps/>
          <w:noProof/>
          <w:color w:val="0000FF"/>
          <w:kern w:val="0"/>
          <w:sz w:val="24"/>
          <w:szCs w:val="24"/>
          <w:lang w:eastAsia="en-CA"/>
          <w14:ligatures w14:val="none"/>
        </w:rPr>
        <w:drawing>
          <wp:inline distT="0" distB="0" distL="0" distR="0" wp14:anchorId="0A7350E6" wp14:editId="04F33989">
            <wp:extent cx="666750" cy="447675"/>
            <wp:effectExtent l="0" t="0" r="0" b="9525"/>
            <wp:docPr id="1" name="Picture 1" descr="Dan Hallet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 Hallet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14:paraId="1629D16B" w14:textId="77777777" w:rsidR="00E132E2" w:rsidRPr="00E132E2" w:rsidRDefault="00000000" w:rsidP="00E132E2">
      <w:pPr>
        <w:shd w:val="clear" w:color="auto" w:fill="FFFFFF"/>
        <w:spacing w:after="0" w:line="240" w:lineRule="auto"/>
        <w:rPr>
          <w:rFonts w:ascii="Helvetica" w:eastAsia="Times New Roman" w:hAnsi="Helvetica" w:cs="Helvetica"/>
          <w:caps/>
          <w:color w:val="333333"/>
          <w:kern w:val="0"/>
          <w:sz w:val="24"/>
          <w:szCs w:val="24"/>
          <w:lang w:eastAsia="en-CA"/>
          <w14:ligatures w14:val="none"/>
        </w:rPr>
      </w:pPr>
      <w:hyperlink r:id="rId7" w:history="1">
        <w:r w:rsidR="00E132E2" w:rsidRPr="00E132E2">
          <w:rPr>
            <w:rFonts w:ascii="Helvetica" w:eastAsia="Times New Roman" w:hAnsi="Helvetica" w:cs="Helvetica"/>
            <w:caps/>
            <w:color w:val="0000FF"/>
            <w:kern w:val="0"/>
            <w:sz w:val="24"/>
            <w:szCs w:val="24"/>
            <w:u w:val="single"/>
            <w:lang w:eastAsia="en-CA"/>
            <w14:ligatures w14:val="none"/>
          </w:rPr>
          <w:t>DAN HALLETT</w:t>
        </w:r>
      </w:hyperlink>
    </w:p>
    <w:p w14:paraId="5D53B6E8" w14:textId="77777777" w:rsidR="00E132E2" w:rsidRPr="00E132E2" w:rsidRDefault="00E132E2" w:rsidP="00E132E2">
      <w:pPr>
        <w:shd w:val="clear" w:color="auto" w:fill="FFFFFF"/>
        <w:spacing w:after="0" w:line="240" w:lineRule="auto"/>
        <w:rPr>
          <w:rFonts w:ascii="Helvetica" w:eastAsia="Times New Roman" w:hAnsi="Helvetica" w:cs="Helvetica"/>
          <w:caps/>
          <w:color w:val="333333"/>
          <w:kern w:val="0"/>
          <w:sz w:val="24"/>
          <w:szCs w:val="24"/>
          <w:lang w:eastAsia="en-CA"/>
          <w14:ligatures w14:val="none"/>
        </w:rPr>
      </w:pPr>
      <w:r w:rsidRPr="00E132E2">
        <w:rPr>
          <w:rFonts w:ascii="Helvetica" w:eastAsia="Times New Roman" w:hAnsi="Helvetica" w:cs="Helvetica"/>
          <w:caps/>
          <w:color w:val="333333"/>
          <w:kern w:val="0"/>
          <w:sz w:val="24"/>
          <w:szCs w:val="24"/>
          <w:lang w:eastAsia="en-CA"/>
          <w14:ligatures w14:val="none"/>
        </w:rPr>
        <w:t>SPECIAL TO THE GLOBE AND MAIL</w:t>
      </w:r>
    </w:p>
    <w:p w14:paraId="6F9CD598" w14:textId="77777777" w:rsidR="00E132E2" w:rsidRPr="00E132E2" w:rsidRDefault="00E132E2" w:rsidP="00E132E2">
      <w:pPr>
        <w:shd w:val="clear" w:color="auto" w:fill="FFFFFF"/>
        <w:spacing w:after="0" w:line="240" w:lineRule="auto"/>
        <w:rPr>
          <w:rFonts w:ascii="Helvetica" w:eastAsia="Times New Roman" w:hAnsi="Helvetica" w:cs="Helvetica"/>
          <w:caps/>
          <w:color w:val="333333"/>
          <w:kern w:val="0"/>
          <w:sz w:val="24"/>
          <w:szCs w:val="24"/>
          <w:lang w:eastAsia="en-CA"/>
          <w14:ligatures w14:val="none"/>
        </w:rPr>
      </w:pPr>
      <w:r w:rsidRPr="00E132E2">
        <w:rPr>
          <w:rFonts w:ascii="Helvetica" w:eastAsia="Times New Roman" w:hAnsi="Helvetica" w:cs="Helvetica"/>
          <w:caps/>
          <w:color w:val="333333"/>
          <w:kern w:val="0"/>
          <w:sz w:val="24"/>
          <w:szCs w:val="24"/>
          <w:lang w:eastAsia="en-CA"/>
          <w14:ligatures w14:val="none"/>
        </w:rPr>
        <w:t>PUBLISHED AUGUST 7, 2014</w:t>
      </w:r>
    </w:p>
    <w:p w14:paraId="6EBB16F6" w14:textId="77777777" w:rsidR="00E132E2" w:rsidRPr="00E132E2" w:rsidRDefault="00E132E2" w:rsidP="00E132E2">
      <w:pPr>
        <w:shd w:val="clear" w:color="auto" w:fill="FFFFFF"/>
        <w:spacing w:before="100" w:beforeAutospacing="1" w:after="100" w:afterAutospacing="1" w:line="240" w:lineRule="auto"/>
        <w:rPr>
          <w:rFonts w:ascii="Helvetica" w:eastAsia="Times New Roman" w:hAnsi="Helvetica" w:cs="Helvetica"/>
          <w:color w:val="333333"/>
          <w:kern w:val="0"/>
          <w:sz w:val="24"/>
          <w:szCs w:val="24"/>
          <w:lang w:eastAsia="en-CA"/>
          <w14:ligatures w14:val="none"/>
        </w:rPr>
      </w:pPr>
      <w:r w:rsidRPr="00E132E2">
        <w:rPr>
          <w:rFonts w:ascii="Helvetica" w:eastAsia="Times New Roman" w:hAnsi="Helvetica" w:cs="Helvetica"/>
          <w:color w:val="333333"/>
          <w:kern w:val="0"/>
          <w:sz w:val="24"/>
          <w:szCs w:val="24"/>
          <w:lang w:eastAsia="en-CA"/>
          <w14:ligatures w14:val="none"/>
        </w:rPr>
        <w:t>This article was published more than 8 years ago. Some information may no longer be current.</w:t>
      </w:r>
    </w:p>
    <w:p w14:paraId="245EC831"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A prospective client recently brought an index-linked guaranteed investment certificate (GIC) to our attention – an investment that he found very attractive. He asked for our thoughts on this product. This GIC that pays interest linked to the S&amp;P/TSX 60 Index performance over 3– or 5– year terms.</w:t>
      </w:r>
    </w:p>
    <w:p w14:paraId="6332CACD"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While it uses an averaging formula to compute returns, it has no maximum participation in index returns. On the surface it even sounded good to your humble and skeptical blogger – </w:t>
      </w:r>
      <w:proofErr w:type="gramStart"/>
      <w:r w:rsidRPr="00E132E2">
        <w:rPr>
          <w:rFonts w:ascii="Georgia" w:eastAsia="Times New Roman" w:hAnsi="Georgia" w:cs="Helvetica"/>
          <w:color w:val="333333"/>
          <w:kern w:val="0"/>
          <w:sz w:val="24"/>
          <w:szCs w:val="24"/>
          <w:lang w:eastAsia="en-CA"/>
          <w14:ligatures w14:val="none"/>
        </w:rPr>
        <w:t>i.e.</w:t>
      </w:r>
      <w:proofErr w:type="gramEnd"/>
      <w:r w:rsidRPr="00E132E2">
        <w:rPr>
          <w:rFonts w:ascii="Georgia" w:eastAsia="Times New Roman" w:hAnsi="Georgia" w:cs="Helvetica"/>
          <w:color w:val="333333"/>
          <w:kern w:val="0"/>
          <w:sz w:val="24"/>
          <w:szCs w:val="24"/>
          <w:lang w:eastAsia="en-CA"/>
          <w14:ligatures w14:val="none"/>
        </w:rPr>
        <w:t xml:space="preserve"> 100 per cent participation, capital guarantee and potentially some minimum interest kicker if the index lost money. But after subjecting this deposit product to some simple modelling it was clear that this was just another linked note with odds tilted in favour of its issuer.</w:t>
      </w:r>
    </w:p>
    <w:p w14:paraId="2E9B13DC"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While the issuer – </w:t>
      </w:r>
      <w:hyperlink r:id="rId8" w:history="1">
        <w:r w:rsidRPr="00E132E2">
          <w:rPr>
            <w:rFonts w:ascii="Georgia" w:eastAsia="Times New Roman" w:hAnsi="Georgia" w:cs="Helvetica"/>
            <w:color w:val="0000FF"/>
            <w:kern w:val="0"/>
            <w:sz w:val="24"/>
            <w:szCs w:val="24"/>
            <w:u w:val="single"/>
            <w:lang w:eastAsia="en-CA"/>
            <w14:ligatures w14:val="none"/>
          </w:rPr>
          <w:t>Alterna Bank</w:t>
        </w:r>
      </w:hyperlink>
      <w:r w:rsidRPr="00E132E2">
        <w:rPr>
          <w:rFonts w:ascii="Georgia" w:eastAsia="Times New Roman" w:hAnsi="Georgia" w:cs="Helvetica"/>
          <w:color w:val="333333"/>
          <w:kern w:val="0"/>
          <w:sz w:val="24"/>
          <w:szCs w:val="24"/>
          <w:lang w:eastAsia="en-CA"/>
          <w14:ligatures w14:val="none"/>
        </w:rPr>
        <w:t> – doesn't make an offering document available on its website, it provides a </w:t>
      </w:r>
      <w:hyperlink r:id="rId9" w:history="1">
        <w:r w:rsidRPr="00E132E2">
          <w:rPr>
            <w:rFonts w:ascii="Georgia" w:eastAsia="Times New Roman" w:hAnsi="Georgia" w:cs="Helvetica"/>
            <w:color w:val="0000FF"/>
            <w:kern w:val="0"/>
            <w:sz w:val="24"/>
            <w:szCs w:val="24"/>
            <w:u w:val="single"/>
            <w:lang w:eastAsia="en-CA"/>
            <w14:ligatures w14:val="none"/>
          </w:rPr>
          <w:t>fact sheet</w:t>
        </w:r>
      </w:hyperlink>
      <w:r w:rsidRPr="00E132E2">
        <w:rPr>
          <w:rFonts w:ascii="Georgia" w:eastAsia="Times New Roman" w:hAnsi="Georgia" w:cs="Helvetica"/>
          <w:color w:val="333333"/>
          <w:kern w:val="0"/>
          <w:sz w:val="24"/>
          <w:szCs w:val="24"/>
          <w:lang w:eastAsia="en-CA"/>
          <w14:ligatures w14:val="none"/>
        </w:rPr>
        <w:t> and </w:t>
      </w:r>
      <w:hyperlink r:id="rId10" w:history="1">
        <w:r w:rsidRPr="00E132E2">
          <w:rPr>
            <w:rFonts w:ascii="Georgia" w:eastAsia="Times New Roman" w:hAnsi="Georgia" w:cs="Helvetica"/>
            <w:color w:val="0000FF"/>
            <w:kern w:val="0"/>
            <w:sz w:val="24"/>
            <w:szCs w:val="24"/>
            <w:u w:val="single"/>
            <w:lang w:eastAsia="en-CA"/>
            <w14:ligatures w14:val="none"/>
          </w:rPr>
          <w:t>other information</w:t>
        </w:r>
      </w:hyperlink>
      <w:r w:rsidRPr="00E132E2">
        <w:rPr>
          <w:rFonts w:ascii="Georgia" w:eastAsia="Times New Roman" w:hAnsi="Georgia" w:cs="Helvetica"/>
          <w:color w:val="333333"/>
          <w:kern w:val="0"/>
          <w:sz w:val="24"/>
          <w:szCs w:val="24"/>
          <w:lang w:eastAsia="en-CA"/>
          <w14:ligatures w14:val="none"/>
        </w:rPr>
        <w:t xml:space="preserve"> with sufficient details to test the product using actual historical data. Using the formulas contained in the fact sheet, I was able to model the S&amp;P/TSX 60 Index to see how often and by how much the GIC would have beaten the pure index investment over both </w:t>
      </w:r>
      <w:proofErr w:type="gramStart"/>
      <w:r w:rsidRPr="00E132E2">
        <w:rPr>
          <w:rFonts w:ascii="Georgia" w:eastAsia="Times New Roman" w:hAnsi="Georgia" w:cs="Helvetica"/>
          <w:color w:val="333333"/>
          <w:kern w:val="0"/>
          <w:sz w:val="24"/>
          <w:szCs w:val="24"/>
          <w:lang w:eastAsia="en-CA"/>
          <w14:ligatures w14:val="none"/>
        </w:rPr>
        <w:t>3 and 5 year</w:t>
      </w:r>
      <w:proofErr w:type="gramEnd"/>
      <w:r w:rsidRPr="00E132E2">
        <w:rPr>
          <w:rFonts w:ascii="Georgia" w:eastAsia="Times New Roman" w:hAnsi="Georgia" w:cs="Helvetica"/>
          <w:color w:val="333333"/>
          <w:kern w:val="0"/>
          <w:sz w:val="24"/>
          <w:szCs w:val="24"/>
          <w:lang w:eastAsia="en-CA"/>
          <w14:ligatures w14:val="none"/>
        </w:rPr>
        <w:t xml:space="preserve"> terms. The S&amp;P/TSX 60 Index has existed since the summer of 1999. My analysis, which uses a September 30, </w:t>
      </w:r>
      <w:proofErr w:type="gramStart"/>
      <w:r w:rsidRPr="00E132E2">
        <w:rPr>
          <w:rFonts w:ascii="Georgia" w:eastAsia="Times New Roman" w:hAnsi="Georgia" w:cs="Helvetica"/>
          <w:color w:val="333333"/>
          <w:kern w:val="0"/>
          <w:sz w:val="24"/>
          <w:szCs w:val="24"/>
          <w:lang w:eastAsia="en-CA"/>
          <w14:ligatures w14:val="none"/>
        </w:rPr>
        <w:t>1999</w:t>
      </w:r>
      <w:proofErr w:type="gramEnd"/>
      <w:r w:rsidRPr="00E132E2">
        <w:rPr>
          <w:rFonts w:ascii="Georgia" w:eastAsia="Times New Roman" w:hAnsi="Georgia" w:cs="Helvetica"/>
          <w:color w:val="333333"/>
          <w:kern w:val="0"/>
          <w:sz w:val="24"/>
          <w:szCs w:val="24"/>
          <w:lang w:eastAsia="en-CA"/>
          <w14:ligatures w14:val="none"/>
        </w:rPr>
        <w:t xml:space="preserve"> start date, yielded insightful results.</w:t>
      </w:r>
    </w:p>
    <w:p w14:paraId="0E559C4B"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b/>
          <w:bCs/>
          <w:color w:val="333333"/>
          <w:kern w:val="0"/>
          <w:sz w:val="24"/>
          <w:szCs w:val="24"/>
          <w:u w:val="single"/>
          <w:lang w:eastAsia="en-CA"/>
          <w14:ligatures w14:val="none"/>
        </w:rPr>
        <w:t>Three-year terms</w:t>
      </w:r>
    </w:p>
    <w:p w14:paraId="055993A9"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From September 1999 through June 2014 there were 141 rolling 3-year periods based on monthly data.</w:t>
      </w:r>
    </w:p>
    <w:p w14:paraId="58826687" w14:textId="77777777" w:rsidR="00E132E2" w:rsidRPr="00E132E2" w:rsidRDefault="00E132E2" w:rsidP="00E132E2">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In 108 of those rolling </w:t>
      </w:r>
      <w:proofErr w:type="gramStart"/>
      <w:r w:rsidRPr="00E132E2">
        <w:rPr>
          <w:rFonts w:ascii="Georgia" w:eastAsia="Times New Roman" w:hAnsi="Georgia" w:cs="Helvetica"/>
          <w:color w:val="333333"/>
          <w:kern w:val="0"/>
          <w:sz w:val="24"/>
          <w:szCs w:val="24"/>
          <w:lang w:eastAsia="en-CA"/>
          <w14:ligatures w14:val="none"/>
        </w:rPr>
        <w:t>three year</w:t>
      </w:r>
      <w:proofErr w:type="gramEnd"/>
      <w:r w:rsidRPr="00E132E2">
        <w:rPr>
          <w:rFonts w:ascii="Georgia" w:eastAsia="Times New Roman" w:hAnsi="Georgia" w:cs="Helvetica"/>
          <w:color w:val="333333"/>
          <w:kern w:val="0"/>
          <w:sz w:val="24"/>
          <w:szCs w:val="24"/>
          <w:lang w:eastAsia="en-CA"/>
          <w14:ligatures w14:val="none"/>
        </w:rPr>
        <w:t xml:space="preserve"> periods – or 77 per cent of the time – the Market Tracer GIC would have underperformed by a median 5 per cent per year.</w:t>
      </w:r>
    </w:p>
    <w:p w14:paraId="1DA4225C" w14:textId="77777777" w:rsidR="00E132E2" w:rsidRPr="00E132E2" w:rsidRDefault="00E132E2" w:rsidP="00E132E2">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In the 33 rolling three-year periods – 23 per cent of the time – during which Market Tracer would have done better, it would have outpaced the index by 3.6 per cent per year.</w:t>
      </w:r>
    </w:p>
    <w:p w14:paraId="3CC6EAAE" w14:textId="77777777" w:rsidR="00E132E2" w:rsidRPr="00E132E2" w:rsidRDefault="00E132E2" w:rsidP="00E132E2">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In other words, 77 per cent of the time Market Tracer loses. During the little time during which Market Tracer would have done better, its margin of </w:t>
      </w:r>
      <w:r w:rsidRPr="00E132E2">
        <w:rPr>
          <w:rFonts w:ascii="Georgia" w:eastAsia="Times New Roman" w:hAnsi="Georgia" w:cs="Helvetica"/>
          <w:color w:val="333333"/>
          <w:kern w:val="0"/>
          <w:sz w:val="24"/>
          <w:szCs w:val="24"/>
          <w:lang w:eastAsia="en-CA"/>
          <w14:ligatures w14:val="none"/>
        </w:rPr>
        <w:lastRenderedPageBreak/>
        <w:t>outperformance would have been much smaller than the margin of underperformance.</w:t>
      </w:r>
    </w:p>
    <w:p w14:paraId="3625E516"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b/>
          <w:bCs/>
          <w:color w:val="333333"/>
          <w:kern w:val="0"/>
          <w:sz w:val="24"/>
          <w:szCs w:val="24"/>
          <w:u w:val="single"/>
          <w:lang w:eastAsia="en-CA"/>
          <w14:ligatures w14:val="none"/>
        </w:rPr>
        <w:t>Five-year terms</w:t>
      </w:r>
      <w:r w:rsidRPr="00E132E2">
        <w:rPr>
          <w:rFonts w:ascii="Georgia" w:eastAsia="Times New Roman" w:hAnsi="Georgia" w:cs="Helvetica"/>
          <w:color w:val="333333"/>
          <w:kern w:val="0"/>
          <w:sz w:val="24"/>
          <w:szCs w:val="24"/>
          <w:lang w:eastAsia="en-CA"/>
          <w14:ligatures w14:val="none"/>
        </w:rPr>
        <w:t>.</w:t>
      </w:r>
    </w:p>
    <w:p w14:paraId="66D24898"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From September 1999 through June 2014 there were 123 rolling </w:t>
      </w:r>
      <w:proofErr w:type="gramStart"/>
      <w:r w:rsidRPr="00E132E2">
        <w:rPr>
          <w:rFonts w:ascii="Georgia" w:eastAsia="Times New Roman" w:hAnsi="Georgia" w:cs="Helvetica"/>
          <w:color w:val="333333"/>
          <w:kern w:val="0"/>
          <w:sz w:val="24"/>
          <w:szCs w:val="24"/>
          <w:lang w:eastAsia="en-CA"/>
          <w14:ligatures w14:val="none"/>
        </w:rPr>
        <w:t>5 year</w:t>
      </w:r>
      <w:proofErr w:type="gramEnd"/>
      <w:r w:rsidRPr="00E132E2">
        <w:rPr>
          <w:rFonts w:ascii="Georgia" w:eastAsia="Times New Roman" w:hAnsi="Georgia" w:cs="Helvetica"/>
          <w:color w:val="333333"/>
          <w:kern w:val="0"/>
          <w:sz w:val="24"/>
          <w:szCs w:val="24"/>
          <w:lang w:eastAsia="en-CA"/>
          <w14:ligatures w14:val="none"/>
        </w:rPr>
        <w:t xml:space="preserve"> periods based on monthly data.</w:t>
      </w:r>
    </w:p>
    <w:p w14:paraId="2C37D3A0" w14:textId="77777777" w:rsidR="00E132E2" w:rsidRPr="00E132E2" w:rsidRDefault="00E132E2" w:rsidP="00E132E2">
      <w:pPr>
        <w:numPr>
          <w:ilvl w:val="0"/>
          <w:numId w:val="2"/>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In 119 of those rolling </w:t>
      </w:r>
      <w:proofErr w:type="gramStart"/>
      <w:r w:rsidRPr="00E132E2">
        <w:rPr>
          <w:rFonts w:ascii="Georgia" w:eastAsia="Times New Roman" w:hAnsi="Georgia" w:cs="Helvetica"/>
          <w:color w:val="333333"/>
          <w:kern w:val="0"/>
          <w:sz w:val="24"/>
          <w:szCs w:val="24"/>
          <w:lang w:eastAsia="en-CA"/>
          <w14:ligatures w14:val="none"/>
        </w:rPr>
        <w:t>five year</w:t>
      </w:r>
      <w:proofErr w:type="gramEnd"/>
      <w:r w:rsidRPr="00E132E2">
        <w:rPr>
          <w:rFonts w:ascii="Georgia" w:eastAsia="Times New Roman" w:hAnsi="Georgia" w:cs="Helvetica"/>
          <w:color w:val="333333"/>
          <w:kern w:val="0"/>
          <w:sz w:val="24"/>
          <w:szCs w:val="24"/>
          <w:lang w:eastAsia="en-CA"/>
          <w14:ligatures w14:val="none"/>
        </w:rPr>
        <w:t xml:space="preserve"> periods – or 97 per cent of the time – the Market Tracer GIC would have underperformed by a median 4.7 per cent per year.</w:t>
      </w:r>
    </w:p>
    <w:p w14:paraId="74BE63E2" w14:textId="77777777" w:rsidR="00E132E2" w:rsidRPr="00E132E2" w:rsidRDefault="00E132E2" w:rsidP="00E132E2">
      <w:pPr>
        <w:numPr>
          <w:ilvl w:val="0"/>
          <w:numId w:val="2"/>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In the 4 rolling five-year periods – 3 per cent of the time – during which Market Tracer would have done better, it would have outpaced the index by just 0.8 per cent per year.</w:t>
      </w:r>
    </w:p>
    <w:p w14:paraId="470ACF3C" w14:textId="77777777" w:rsidR="00E132E2" w:rsidRPr="00E132E2" w:rsidRDefault="00E132E2" w:rsidP="00E132E2">
      <w:pPr>
        <w:numPr>
          <w:ilvl w:val="0"/>
          <w:numId w:val="2"/>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In other words, the time Market Tracer would have lost during virtually every </w:t>
      </w:r>
      <w:proofErr w:type="gramStart"/>
      <w:r w:rsidRPr="00E132E2">
        <w:rPr>
          <w:rFonts w:ascii="Georgia" w:eastAsia="Times New Roman" w:hAnsi="Georgia" w:cs="Helvetica"/>
          <w:color w:val="333333"/>
          <w:kern w:val="0"/>
          <w:sz w:val="24"/>
          <w:szCs w:val="24"/>
          <w:lang w:eastAsia="en-CA"/>
          <w14:ligatures w14:val="none"/>
        </w:rPr>
        <w:t>five year</w:t>
      </w:r>
      <w:proofErr w:type="gramEnd"/>
      <w:r w:rsidRPr="00E132E2">
        <w:rPr>
          <w:rFonts w:ascii="Georgia" w:eastAsia="Times New Roman" w:hAnsi="Georgia" w:cs="Helvetica"/>
          <w:color w:val="333333"/>
          <w:kern w:val="0"/>
          <w:sz w:val="24"/>
          <w:szCs w:val="24"/>
          <w:lang w:eastAsia="en-CA"/>
          <w14:ligatures w14:val="none"/>
        </w:rPr>
        <w:t xml:space="preserve"> period by a large margin. And in the few instances where it was successful, it just squeaked by the index.</w:t>
      </w:r>
    </w:p>
    <w:p w14:paraId="04BD0DA3"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b/>
          <w:bCs/>
          <w:color w:val="333333"/>
          <w:kern w:val="0"/>
          <w:sz w:val="24"/>
          <w:szCs w:val="24"/>
          <w:u w:val="single"/>
          <w:lang w:eastAsia="en-CA"/>
          <w14:ligatures w14:val="none"/>
        </w:rPr>
        <w:t>Other Factors</w:t>
      </w:r>
    </w:p>
    <w:p w14:paraId="63C0DBB6"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The above analysis assumes that the Market Tracer GIC's formula uses the total return – not the price-only return – of the S&amp;P/TSX 60 Index. Details I found online did not specify whether the index tracked is a "total return index" (</w:t>
      </w:r>
      <w:proofErr w:type="gramStart"/>
      <w:r w:rsidRPr="00E132E2">
        <w:rPr>
          <w:rFonts w:ascii="Georgia" w:eastAsia="Times New Roman" w:hAnsi="Georgia" w:cs="Helvetica"/>
          <w:color w:val="333333"/>
          <w:kern w:val="0"/>
          <w:sz w:val="24"/>
          <w:szCs w:val="24"/>
          <w:lang w:eastAsia="en-CA"/>
          <w14:ligatures w14:val="none"/>
        </w:rPr>
        <w:t>i.e.</w:t>
      </w:r>
      <w:proofErr w:type="gramEnd"/>
      <w:r w:rsidRPr="00E132E2">
        <w:rPr>
          <w:rFonts w:ascii="Georgia" w:eastAsia="Times New Roman" w:hAnsi="Georgia" w:cs="Helvetica"/>
          <w:color w:val="333333"/>
          <w:kern w:val="0"/>
          <w:sz w:val="24"/>
          <w:szCs w:val="24"/>
          <w:lang w:eastAsia="en-CA"/>
          <w14:ligatures w14:val="none"/>
        </w:rPr>
        <w:t xml:space="preserve"> price + reinvested dividends) or purely a "price index" (i.e. change in price only, excluding the benefits of dividends and compounding benefits of reinvesting those dividends). A key question that the offering document should answer: is interest paid based on the total return index or does the issuer keep the dividend to reduce its cost of capital?</w:t>
      </w:r>
    </w:p>
    <w:p w14:paraId="78B9C97A" w14:textId="77777777" w:rsidR="00E132E2" w:rsidRPr="00E132E2" w:rsidRDefault="00E132E2" w:rsidP="00E132E2">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132E2">
        <w:rPr>
          <w:rFonts w:ascii="Georgia" w:eastAsia="Times New Roman" w:hAnsi="Georgia" w:cs="Helvetica"/>
          <w:color w:val="333333"/>
          <w:kern w:val="0"/>
          <w:sz w:val="24"/>
          <w:szCs w:val="24"/>
          <w:lang w:eastAsia="en-CA"/>
          <w14:ligatures w14:val="none"/>
        </w:rPr>
        <w:t xml:space="preserve">If it tracks price only, the above figures </w:t>
      </w:r>
      <w:proofErr w:type="gramStart"/>
      <w:r w:rsidRPr="00E132E2">
        <w:rPr>
          <w:rFonts w:ascii="Georgia" w:eastAsia="Times New Roman" w:hAnsi="Georgia" w:cs="Helvetica"/>
          <w:color w:val="333333"/>
          <w:kern w:val="0"/>
          <w:sz w:val="24"/>
          <w:szCs w:val="24"/>
          <w:lang w:eastAsia="en-CA"/>
          <w14:ligatures w14:val="none"/>
        </w:rPr>
        <w:t>would</w:t>
      </w:r>
      <w:proofErr w:type="gramEnd"/>
      <w:r w:rsidRPr="00E132E2">
        <w:rPr>
          <w:rFonts w:ascii="Georgia" w:eastAsia="Times New Roman" w:hAnsi="Georgia" w:cs="Helvetica"/>
          <w:color w:val="333333"/>
          <w:kern w:val="0"/>
          <w:sz w:val="24"/>
          <w:szCs w:val="24"/>
          <w:lang w:eastAsia="en-CA"/>
          <w14:ligatures w14:val="none"/>
        </w:rPr>
        <w:t xml:space="preserve"> go from bad to ugly for Market Tracer. Keep in mind that financial institutions have designed these products and have deemed them attractive enough to want to sell a lot of them. In other words, they will tend to offer products when they are confident that the odds will be tilted in their favour – which may be at odds with what's best for end investors. Interested investors should review the offering document prior to making any decision. My initial analysis, however, suggests that investors should take a pass.</w:t>
      </w:r>
    </w:p>
    <w:p w14:paraId="53E22E5A"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DB4"/>
    <w:multiLevelType w:val="multilevel"/>
    <w:tmpl w:val="C6AE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B0ADC"/>
    <w:multiLevelType w:val="multilevel"/>
    <w:tmpl w:val="866A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61721">
    <w:abstractNumId w:val="0"/>
  </w:num>
  <w:num w:numId="2" w16cid:durableId="98436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E2"/>
    <w:rsid w:val="001F2EBC"/>
    <w:rsid w:val="00441136"/>
    <w:rsid w:val="00884072"/>
    <w:rsid w:val="00E132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638B"/>
  <w15:chartTrackingRefBased/>
  <w15:docId w15:val="{9D18C6C3-9CD1-4AAA-98D1-C8EB8E92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90877">
      <w:bodyDiv w:val="1"/>
      <w:marLeft w:val="0"/>
      <w:marRight w:val="0"/>
      <w:marTop w:val="0"/>
      <w:marBottom w:val="0"/>
      <w:divBdr>
        <w:top w:val="none" w:sz="0" w:space="0" w:color="auto"/>
        <w:left w:val="none" w:sz="0" w:space="0" w:color="auto"/>
        <w:bottom w:val="none" w:sz="0" w:space="0" w:color="auto"/>
        <w:right w:val="none" w:sz="0" w:space="0" w:color="auto"/>
      </w:divBdr>
      <w:divsChild>
        <w:div w:id="683361130">
          <w:marLeft w:val="0"/>
          <w:marRight w:val="0"/>
          <w:marTop w:val="0"/>
          <w:marBottom w:val="0"/>
          <w:divBdr>
            <w:top w:val="none" w:sz="0" w:space="0" w:color="auto"/>
            <w:left w:val="none" w:sz="0" w:space="0" w:color="auto"/>
            <w:bottom w:val="none" w:sz="0" w:space="0" w:color="auto"/>
            <w:right w:val="none" w:sz="0" w:space="0" w:color="auto"/>
          </w:divBdr>
          <w:divsChild>
            <w:div w:id="516622771">
              <w:marLeft w:val="0"/>
              <w:marRight w:val="0"/>
              <w:marTop w:val="0"/>
              <w:marBottom w:val="0"/>
              <w:divBdr>
                <w:top w:val="none" w:sz="0" w:space="0" w:color="auto"/>
                <w:left w:val="none" w:sz="0" w:space="0" w:color="auto"/>
                <w:bottom w:val="none" w:sz="0" w:space="0" w:color="auto"/>
                <w:right w:val="none" w:sz="0" w:space="0" w:color="auto"/>
              </w:divBdr>
            </w:div>
          </w:divsChild>
        </w:div>
        <w:div w:id="34893616">
          <w:marLeft w:val="0"/>
          <w:marRight w:val="0"/>
          <w:marTop w:val="0"/>
          <w:marBottom w:val="0"/>
          <w:divBdr>
            <w:top w:val="none" w:sz="0" w:space="0" w:color="auto"/>
            <w:left w:val="none" w:sz="0" w:space="0" w:color="auto"/>
            <w:bottom w:val="none" w:sz="0" w:space="0" w:color="auto"/>
            <w:right w:val="none" w:sz="0" w:space="0" w:color="auto"/>
          </w:divBdr>
          <w:divsChild>
            <w:div w:id="2013137719">
              <w:marLeft w:val="0"/>
              <w:marRight w:val="0"/>
              <w:marTop w:val="0"/>
              <w:marBottom w:val="0"/>
              <w:divBdr>
                <w:top w:val="none" w:sz="0" w:space="0" w:color="auto"/>
                <w:left w:val="none" w:sz="0" w:space="0" w:color="auto"/>
                <w:bottom w:val="none" w:sz="0" w:space="0" w:color="auto"/>
                <w:right w:val="none" w:sz="0" w:space="0" w:color="auto"/>
              </w:divBdr>
              <w:divsChild>
                <w:div w:id="607544320">
                  <w:marLeft w:val="0"/>
                  <w:marRight w:val="0"/>
                  <w:marTop w:val="0"/>
                  <w:marBottom w:val="0"/>
                  <w:divBdr>
                    <w:top w:val="none" w:sz="0" w:space="0" w:color="auto"/>
                    <w:left w:val="none" w:sz="0" w:space="0" w:color="auto"/>
                    <w:bottom w:val="none" w:sz="0" w:space="0" w:color="auto"/>
                    <w:right w:val="none" w:sz="0" w:space="0" w:color="auto"/>
                  </w:divBdr>
                  <w:divsChild>
                    <w:div w:id="469057942">
                      <w:marLeft w:val="0"/>
                      <w:marRight w:val="0"/>
                      <w:marTop w:val="0"/>
                      <w:marBottom w:val="0"/>
                      <w:divBdr>
                        <w:top w:val="none" w:sz="0" w:space="0" w:color="auto"/>
                        <w:left w:val="none" w:sz="0" w:space="0" w:color="auto"/>
                        <w:bottom w:val="none" w:sz="0" w:space="0" w:color="auto"/>
                        <w:right w:val="none" w:sz="0" w:space="0" w:color="auto"/>
                      </w:divBdr>
                      <w:divsChild>
                        <w:div w:id="1714815794">
                          <w:marLeft w:val="0"/>
                          <w:marRight w:val="0"/>
                          <w:marTop w:val="0"/>
                          <w:marBottom w:val="0"/>
                          <w:divBdr>
                            <w:top w:val="none" w:sz="0" w:space="0" w:color="auto"/>
                            <w:left w:val="none" w:sz="0" w:space="0" w:color="auto"/>
                            <w:bottom w:val="none" w:sz="0" w:space="0" w:color="auto"/>
                            <w:right w:val="none" w:sz="0" w:space="0" w:color="auto"/>
                          </w:divBdr>
                        </w:div>
                      </w:divsChild>
                    </w:div>
                    <w:div w:id="8220591">
                      <w:marLeft w:val="0"/>
                      <w:marRight w:val="0"/>
                      <w:marTop w:val="0"/>
                      <w:marBottom w:val="0"/>
                      <w:divBdr>
                        <w:top w:val="none" w:sz="0" w:space="0" w:color="auto"/>
                        <w:left w:val="none" w:sz="0" w:space="0" w:color="auto"/>
                        <w:bottom w:val="none" w:sz="0" w:space="0" w:color="auto"/>
                        <w:right w:val="none" w:sz="0" w:space="0" w:color="auto"/>
                      </w:divBdr>
                      <w:divsChild>
                        <w:div w:id="549345064">
                          <w:marLeft w:val="0"/>
                          <w:marRight w:val="0"/>
                          <w:marTop w:val="0"/>
                          <w:marBottom w:val="0"/>
                          <w:divBdr>
                            <w:top w:val="none" w:sz="0" w:space="0" w:color="auto"/>
                            <w:left w:val="none" w:sz="0" w:space="0" w:color="auto"/>
                            <w:bottom w:val="none" w:sz="0" w:space="0" w:color="auto"/>
                            <w:right w:val="none" w:sz="0" w:space="0" w:color="auto"/>
                          </w:divBdr>
                        </w:div>
                        <w:div w:id="9755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565">
              <w:marLeft w:val="0"/>
              <w:marRight w:val="0"/>
              <w:marTop w:val="0"/>
              <w:marBottom w:val="0"/>
              <w:divBdr>
                <w:top w:val="none" w:sz="0" w:space="0" w:color="auto"/>
                <w:left w:val="none" w:sz="0" w:space="0" w:color="auto"/>
                <w:bottom w:val="none" w:sz="0" w:space="0" w:color="auto"/>
                <w:right w:val="none" w:sz="0" w:space="0" w:color="auto"/>
              </w:divBdr>
              <w:divsChild>
                <w:div w:id="1404640118">
                  <w:marLeft w:val="0"/>
                  <w:marRight w:val="0"/>
                  <w:marTop w:val="0"/>
                  <w:marBottom w:val="0"/>
                  <w:divBdr>
                    <w:top w:val="none" w:sz="0" w:space="0" w:color="auto"/>
                    <w:left w:val="none" w:sz="0" w:space="0" w:color="auto"/>
                    <w:bottom w:val="none" w:sz="0" w:space="0" w:color="auto"/>
                    <w:right w:val="none" w:sz="0" w:space="0" w:color="auto"/>
                  </w:divBdr>
                  <w:divsChild>
                    <w:div w:id="1492869369">
                      <w:marLeft w:val="0"/>
                      <w:marRight w:val="0"/>
                      <w:marTop w:val="0"/>
                      <w:marBottom w:val="0"/>
                      <w:divBdr>
                        <w:top w:val="none" w:sz="0" w:space="0" w:color="auto"/>
                        <w:left w:val="none" w:sz="0" w:space="0" w:color="auto"/>
                        <w:bottom w:val="none" w:sz="0" w:space="0" w:color="auto"/>
                        <w:right w:val="none" w:sz="0" w:space="0" w:color="auto"/>
                      </w:divBdr>
                    </w:div>
                    <w:div w:id="1032926481">
                      <w:marLeft w:val="0"/>
                      <w:marRight w:val="0"/>
                      <w:marTop w:val="0"/>
                      <w:marBottom w:val="0"/>
                      <w:divBdr>
                        <w:top w:val="none" w:sz="0" w:space="0" w:color="auto"/>
                        <w:left w:val="none" w:sz="0" w:space="0" w:color="auto"/>
                        <w:bottom w:val="none" w:sz="0" w:space="0" w:color="auto"/>
                        <w:right w:val="none" w:sz="0" w:space="0" w:color="auto"/>
                      </w:divBdr>
                      <w:divsChild>
                        <w:div w:id="15905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ernabank.ca/Personal/Investments/TermDeposits/" TargetMode="External"/><Relationship Id="rId3" Type="http://schemas.openxmlformats.org/officeDocument/2006/relationships/settings" Target="settings.xml"/><Relationship Id="rId7" Type="http://schemas.openxmlformats.org/officeDocument/2006/relationships/hyperlink" Target="https://www.theglobeandmail.com/authors/dan-hallet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theglobeandmail.com/authors/dan-hallett/" TargetMode="External"/><Relationship Id="rId10" Type="http://schemas.openxmlformats.org/officeDocument/2006/relationships/hyperlink" Target="https://www.alternabank.ca/Personal/Investments/MarketTracer/" TargetMode="External"/><Relationship Id="rId4" Type="http://schemas.openxmlformats.org/officeDocument/2006/relationships/webSettings" Target="webSettings.xml"/><Relationship Id="rId9" Type="http://schemas.openxmlformats.org/officeDocument/2006/relationships/hyperlink" Target="https://www.alterna.ca/SharedContent/documents/Alterna_MarketTracer_re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Smarter Financial Planning</cp:lastModifiedBy>
  <cp:revision>2</cp:revision>
  <dcterms:created xsi:type="dcterms:W3CDTF">2023-05-25T18:59:00Z</dcterms:created>
  <dcterms:modified xsi:type="dcterms:W3CDTF">2023-05-25T18:59:00Z</dcterms:modified>
</cp:coreProperties>
</file>