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526" w14:textId="77777777" w:rsidR="00DB363C" w:rsidRPr="00DB363C" w:rsidRDefault="00DB363C" w:rsidP="00DB363C">
      <w:pPr>
        <w:shd w:val="clear" w:color="auto" w:fill="FFFFFF"/>
        <w:spacing w:after="0" w:line="240" w:lineRule="auto"/>
        <w:outlineLvl w:val="0"/>
        <w:rPr>
          <w:rFonts w:ascii="Georgia" w:eastAsia="Times New Roman" w:hAnsi="Georgia" w:cs="Helvetica"/>
          <w:color w:val="333333"/>
          <w:kern w:val="36"/>
          <w:sz w:val="48"/>
          <w:szCs w:val="48"/>
          <w:lang w:eastAsia="en-CA"/>
          <w14:ligatures w14:val="none"/>
        </w:rPr>
      </w:pPr>
      <w:r w:rsidRPr="00DB363C">
        <w:rPr>
          <w:rFonts w:ascii="Georgia" w:eastAsia="Times New Roman" w:hAnsi="Georgia" w:cs="Helvetica"/>
          <w:color w:val="333333"/>
          <w:kern w:val="36"/>
          <w:sz w:val="48"/>
          <w:szCs w:val="48"/>
          <w:lang w:eastAsia="en-CA"/>
          <w14:ligatures w14:val="none"/>
        </w:rPr>
        <w:t>BMO chief strategist’s top picks for Canadian GARP stocks</w:t>
      </w:r>
    </w:p>
    <w:p w14:paraId="01D29A2B" w14:textId="77777777" w:rsidR="00DB363C" w:rsidRPr="00DB363C" w:rsidRDefault="00DB363C" w:rsidP="00DB363C">
      <w:pPr>
        <w:shd w:val="clear" w:color="auto" w:fill="FFFFFF"/>
        <w:spacing w:after="0" w:line="240" w:lineRule="auto"/>
        <w:rPr>
          <w:rFonts w:ascii="Helvetica" w:eastAsia="Times New Roman" w:hAnsi="Helvetica" w:cs="Helvetica"/>
          <w:caps/>
          <w:color w:val="333333"/>
          <w:kern w:val="0"/>
          <w:sz w:val="24"/>
          <w:szCs w:val="24"/>
          <w:lang w:eastAsia="en-CA"/>
          <w14:ligatures w14:val="none"/>
        </w:rPr>
      </w:pPr>
      <w:hyperlink r:id="rId4" w:history="1">
        <w:r w:rsidRPr="00DB363C">
          <w:rPr>
            <w:rFonts w:ascii="Helvetica" w:eastAsia="Times New Roman" w:hAnsi="Helvetica" w:cs="Helvetica"/>
            <w:caps/>
            <w:color w:val="0000FF"/>
            <w:kern w:val="0"/>
            <w:sz w:val="24"/>
            <w:szCs w:val="24"/>
            <w:lang w:eastAsia="en-CA"/>
            <w14:ligatures w14:val="none"/>
          </w:rPr>
          <w:t>SCOTT BARLOW</w:t>
        </w:r>
      </w:hyperlink>
      <w:r w:rsidRPr="00DB363C">
        <w:rPr>
          <w:rFonts w:ascii="Helvetica" w:eastAsia="Times New Roman" w:hAnsi="Helvetica" w:cs="Helvetica"/>
          <w:caps/>
          <w:color w:val="333333"/>
          <w:kern w:val="0"/>
          <w:sz w:val="24"/>
          <w:szCs w:val="24"/>
          <w:lang w:eastAsia="en-CA"/>
          <w14:ligatures w14:val="none"/>
        </w:rPr>
        <w:t>MARKET STRATEGIST</w:t>
      </w:r>
    </w:p>
    <w:p w14:paraId="077124AA" w14:textId="77777777" w:rsidR="00DB363C" w:rsidRPr="00DB363C" w:rsidRDefault="00DB363C" w:rsidP="00DB363C">
      <w:pPr>
        <w:shd w:val="clear" w:color="auto" w:fill="FFFFFF"/>
        <w:spacing w:after="0" w:line="240" w:lineRule="auto"/>
        <w:rPr>
          <w:rFonts w:ascii="Helvetica" w:eastAsia="Times New Roman" w:hAnsi="Helvetica" w:cs="Helvetica"/>
          <w:caps/>
          <w:color w:val="333333"/>
          <w:kern w:val="0"/>
          <w:sz w:val="24"/>
          <w:szCs w:val="24"/>
          <w:lang w:eastAsia="en-CA"/>
          <w14:ligatures w14:val="none"/>
        </w:rPr>
      </w:pPr>
      <w:r w:rsidRPr="00DB363C">
        <w:rPr>
          <w:rFonts w:ascii="Helvetica" w:eastAsia="Times New Roman" w:hAnsi="Helvetica" w:cs="Helvetica"/>
          <w:caps/>
          <w:color w:val="333333"/>
          <w:kern w:val="0"/>
          <w:sz w:val="24"/>
          <w:szCs w:val="24"/>
          <w:lang w:eastAsia="en-CA"/>
          <w14:ligatures w14:val="none"/>
        </w:rPr>
        <w:t>PUBLISHED APRIL 27, 2023</w:t>
      </w:r>
    </w:p>
    <w:p w14:paraId="53E65FF9" w14:textId="77777777" w:rsidR="00DB363C" w:rsidRPr="00DB363C" w:rsidRDefault="00DB363C" w:rsidP="00DB363C">
      <w:pPr>
        <w:shd w:val="clear" w:color="auto" w:fill="FFFFFF"/>
        <w:spacing w:before="100" w:beforeAutospacing="1" w:after="100" w:afterAutospacing="1" w:line="240" w:lineRule="auto"/>
        <w:rPr>
          <w:rFonts w:ascii="Georgia" w:eastAsia="Times New Roman" w:hAnsi="Georgia" w:cs="Helvetica"/>
          <w:color w:val="333333"/>
          <w:kern w:val="0"/>
          <w:sz w:val="24"/>
          <w:szCs w:val="24"/>
          <w:lang w:eastAsia="en-CA"/>
          <w14:ligatures w14:val="none"/>
        </w:rPr>
      </w:pPr>
      <w:r w:rsidRPr="00DB363C">
        <w:rPr>
          <w:rFonts w:ascii="Georgia" w:eastAsia="Times New Roman" w:hAnsi="Georgia" w:cs="Helvetica"/>
          <w:i/>
          <w:iCs/>
          <w:color w:val="333333"/>
          <w:kern w:val="0"/>
          <w:sz w:val="24"/>
          <w:szCs w:val="24"/>
          <w:lang w:eastAsia="en-CA"/>
          <w14:ligatures w14:val="none"/>
        </w:rPr>
        <w:t>Daily roundup of research and analysis from The Globe and Mail’s market strategist Scott Barlow</w:t>
      </w:r>
    </w:p>
    <w:p w14:paraId="28D062F8" w14:textId="77777777" w:rsidR="00DB363C" w:rsidRPr="00DB363C" w:rsidRDefault="00DB363C" w:rsidP="00DB363C">
      <w:pPr>
        <w:shd w:val="clear" w:color="auto" w:fill="FFFFFF"/>
        <w:spacing w:before="100" w:beforeAutospacing="1" w:after="100" w:afterAutospacing="1" w:line="240" w:lineRule="auto"/>
        <w:rPr>
          <w:rFonts w:ascii="Georgia" w:eastAsia="Times New Roman" w:hAnsi="Georgia" w:cs="Helvetica"/>
          <w:color w:val="333333"/>
          <w:kern w:val="0"/>
          <w:sz w:val="24"/>
          <w:szCs w:val="24"/>
          <w:lang w:eastAsia="en-CA"/>
          <w14:ligatures w14:val="none"/>
        </w:rPr>
      </w:pPr>
      <w:r w:rsidRPr="00DB363C">
        <w:rPr>
          <w:rFonts w:ascii="Georgia" w:eastAsia="Times New Roman" w:hAnsi="Georgia" w:cs="Helvetica"/>
          <w:color w:val="333333"/>
          <w:kern w:val="0"/>
          <w:sz w:val="24"/>
          <w:szCs w:val="24"/>
          <w:lang w:eastAsia="en-CA"/>
          <w14:ligatures w14:val="none"/>
        </w:rPr>
        <w:t xml:space="preserve">BMO chief strategist Brian </w:t>
      </w:r>
      <w:proofErr w:type="spellStart"/>
      <w:r w:rsidRPr="00DB363C">
        <w:rPr>
          <w:rFonts w:ascii="Georgia" w:eastAsia="Times New Roman" w:hAnsi="Georgia" w:cs="Helvetica"/>
          <w:color w:val="333333"/>
          <w:kern w:val="0"/>
          <w:sz w:val="24"/>
          <w:szCs w:val="24"/>
          <w:lang w:eastAsia="en-CA"/>
          <w14:ligatures w14:val="none"/>
        </w:rPr>
        <w:t>Belski</w:t>
      </w:r>
      <w:proofErr w:type="spellEnd"/>
      <w:r w:rsidRPr="00DB363C">
        <w:rPr>
          <w:rFonts w:ascii="Georgia" w:eastAsia="Times New Roman" w:hAnsi="Georgia" w:cs="Helvetica"/>
          <w:color w:val="333333"/>
          <w:kern w:val="0"/>
          <w:sz w:val="24"/>
          <w:szCs w:val="24"/>
          <w:lang w:eastAsia="en-CA"/>
          <w14:ligatures w14:val="none"/>
        </w:rPr>
        <w:t xml:space="preserve"> is positive on Canadian growth at a reasonable price (GARP) </w:t>
      </w:r>
      <w:proofErr w:type="gramStart"/>
      <w:r w:rsidRPr="00DB363C">
        <w:rPr>
          <w:rFonts w:ascii="Georgia" w:eastAsia="Times New Roman" w:hAnsi="Georgia" w:cs="Helvetica"/>
          <w:color w:val="333333"/>
          <w:kern w:val="0"/>
          <w:sz w:val="24"/>
          <w:szCs w:val="24"/>
          <w:lang w:eastAsia="en-CA"/>
          <w14:ligatures w14:val="none"/>
        </w:rPr>
        <w:t>stocks</w:t>
      </w:r>
      <w:proofErr w:type="gramEnd"/>
      <w:r w:rsidRPr="00DB363C">
        <w:rPr>
          <w:rFonts w:ascii="Georgia" w:eastAsia="Times New Roman" w:hAnsi="Georgia" w:cs="Helvetica"/>
          <w:color w:val="333333"/>
          <w:kern w:val="0"/>
          <w:sz w:val="24"/>
          <w:szCs w:val="24"/>
          <w:lang w:eastAsia="en-CA"/>
          <w14:ligatures w14:val="none"/>
        </w:rPr>
        <w:t>,</w:t>
      </w:r>
    </w:p>
    <w:p w14:paraId="5D7190AB" w14:textId="77777777" w:rsidR="00DB363C" w:rsidRPr="00DB363C" w:rsidRDefault="00DB363C" w:rsidP="00DB363C">
      <w:pPr>
        <w:shd w:val="clear" w:color="auto" w:fill="FFFFFF"/>
        <w:spacing w:before="100" w:beforeAutospacing="1" w:after="100" w:afterAutospacing="1" w:line="240" w:lineRule="auto"/>
        <w:rPr>
          <w:rFonts w:ascii="Georgia" w:eastAsia="Times New Roman" w:hAnsi="Georgia" w:cs="Helvetica"/>
          <w:color w:val="333333"/>
          <w:kern w:val="0"/>
          <w:sz w:val="24"/>
          <w:szCs w:val="24"/>
          <w:lang w:eastAsia="en-CA"/>
          <w14:ligatures w14:val="none"/>
        </w:rPr>
      </w:pPr>
      <w:r w:rsidRPr="00DB363C">
        <w:rPr>
          <w:rFonts w:ascii="Georgia" w:eastAsia="Times New Roman" w:hAnsi="Georgia" w:cs="Helvetica"/>
          <w:color w:val="333333"/>
          <w:kern w:val="0"/>
          <w:sz w:val="24"/>
          <w:szCs w:val="24"/>
          <w:lang w:eastAsia="en-CA"/>
          <w14:ligatures w14:val="none"/>
        </w:rPr>
        <w:t xml:space="preserve">“Growth at a Reasonable Price (GARP) remains one of our key style preferences for Canadian equities in 2023. Indeed, the TSX continues to exhibit a record valuation spread against the S&amp;P 500, while still posting growth rates at or above global peers … the TSX in general and most sectors in the TSX show strong relative value compared to their US peers. Furthermore, earnings growth and revision trends are broadly consistent with the S&amp;P 500, suggesting there are likely many opportunities developing in Canada to implement a growth at a reasonable price strategy … We believe [our] tactically diversified portfolio will capture the earnings rebound, while mitigating correction risk as markets navigate the end of the tightening </w:t>
      </w:r>
      <w:proofErr w:type="gramStart"/>
      <w:r w:rsidRPr="00DB363C">
        <w:rPr>
          <w:rFonts w:ascii="Georgia" w:eastAsia="Times New Roman" w:hAnsi="Georgia" w:cs="Helvetica"/>
          <w:color w:val="333333"/>
          <w:kern w:val="0"/>
          <w:sz w:val="24"/>
          <w:szCs w:val="24"/>
          <w:lang w:eastAsia="en-CA"/>
          <w14:ligatures w14:val="none"/>
        </w:rPr>
        <w:t>cycle</w:t>
      </w:r>
      <w:proofErr w:type="gramEnd"/>
      <w:r w:rsidRPr="00DB363C">
        <w:rPr>
          <w:rFonts w:ascii="Georgia" w:eastAsia="Times New Roman" w:hAnsi="Georgia" w:cs="Helvetica"/>
          <w:color w:val="333333"/>
          <w:kern w:val="0"/>
          <w:sz w:val="24"/>
          <w:szCs w:val="24"/>
          <w:lang w:eastAsia="en-CA"/>
          <w14:ligatures w14:val="none"/>
        </w:rPr>
        <w:t xml:space="preserve"> "</w:t>
      </w:r>
    </w:p>
    <w:p w14:paraId="68C7E262" w14:textId="77777777" w:rsidR="00DB363C" w:rsidRPr="00DB363C" w:rsidRDefault="00DB363C" w:rsidP="00DB363C">
      <w:pPr>
        <w:shd w:val="clear" w:color="auto" w:fill="FFFFFF"/>
        <w:spacing w:before="100" w:beforeAutospacing="1" w:after="100" w:afterAutospacing="1" w:line="240" w:lineRule="auto"/>
        <w:rPr>
          <w:rFonts w:ascii="Georgia" w:eastAsia="Times New Roman" w:hAnsi="Georgia" w:cs="Helvetica"/>
          <w:color w:val="333333"/>
          <w:kern w:val="0"/>
          <w:sz w:val="24"/>
          <w:szCs w:val="24"/>
          <w:lang w:eastAsia="en-CA"/>
          <w14:ligatures w14:val="none"/>
        </w:rPr>
      </w:pPr>
      <w:r w:rsidRPr="00DB363C">
        <w:rPr>
          <w:rFonts w:ascii="Georgia" w:eastAsia="Times New Roman" w:hAnsi="Georgia" w:cs="Helvetica"/>
          <w:color w:val="333333"/>
          <w:kern w:val="0"/>
          <w:sz w:val="24"/>
          <w:szCs w:val="24"/>
          <w:lang w:eastAsia="en-CA"/>
          <w14:ligatures w14:val="none"/>
        </w:rPr>
        <w:t xml:space="preserve">The stocks on the GARP list are Rogers Communications, Quebecor, Telus Corp., Canadian Tire, BRP Inc., Magna International , Restaurant Brands International, Saputo Inc., Loblaws Co. Ltd., ARC Resources, Canadian Natural Resources, Cenovus Energy, Enbridge, </w:t>
      </w:r>
      <w:proofErr w:type="spellStart"/>
      <w:r w:rsidRPr="00DB363C">
        <w:rPr>
          <w:rFonts w:ascii="Georgia" w:eastAsia="Times New Roman" w:hAnsi="Georgia" w:cs="Helvetica"/>
          <w:color w:val="333333"/>
          <w:kern w:val="0"/>
          <w:sz w:val="24"/>
          <w:szCs w:val="24"/>
          <w:lang w:eastAsia="en-CA"/>
          <w14:ligatures w14:val="none"/>
        </w:rPr>
        <w:t>Parex</w:t>
      </w:r>
      <w:proofErr w:type="spellEnd"/>
      <w:r w:rsidRPr="00DB363C">
        <w:rPr>
          <w:rFonts w:ascii="Georgia" w:eastAsia="Times New Roman" w:hAnsi="Georgia" w:cs="Helvetica"/>
          <w:color w:val="333333"/>
          <w:kern w:val="0"/>
          <w:sz w:val="24"/>
          <w:szCs w:val="24"/>
          <w:lang w:eastAsia="en-CA"/>
          <w14:ligatures w14:val="none"/>
        </w:rPr>
        <w:t xml:space="preserve"> Resources, Suncor Energy, Tourmaline Oil, TC Energy, Bank of Montreal, Brookfield Corp., CI Financial Corp., Canadian Western Bank, EQB, Manulife Financial, National Bank, Royal Bank, Sun Life Financial, TD Bank, CAE Inc., Canadian national Railway Co., Finning International, Stantec, TFI International, </w:t>
      </w:r>
      <w:proofErr w:type="spellStart"/>
      <w:r w:rsidRPr="00DB363C">
        <w:rPr>
          <w:rFonts w:ascii="Georgia" w:eastAsia="Times New Roman" w:hAnsi="Georgia" w:cs="Helvetica"/>
          <w:color w:val="333333"/>
          <w:kern w:val="0"/>
          <w:sz w:val="24"/>
          <w:szCs w:val="24"/>
          <w:lang w:eastAsia="en-CA"/>
          <w14:ligatures w14:val="none"/>
        </w:rPr>
        <w:t>Evertz</w:t>
      </w:r>
      <w:proofErr w:type="spellEnd"/>
      <w:r w:rsidRPr="00DB363C">
        <w:rPr>
          <w:rFonts w:ascii="Georgia" w:eastAsia="Times New Roman" w:hAnsi="Georgia" w:cs="Helvetica"/>
          <w:color w:val="333333"/>
          <w:kern w:val="0"/>
          <w:sz w:val="24"/>
          <w:szCs w:val="24"/>
          <w:lang w:eastAsia="en-CA"/>
          <w14:ligatures w14:val="none"/>
        </w:rPr>
        <w:t xml:space="preserve"> Technologies, CGI Inc., Open Text Corp., B2Gold, Equinox Gold, First Quantum Minerals [disclosure: I own a position in this one] , New Gold Inc., </w:t>
      </w:r>
      <w:proofErr w:type="spellStart"/>
      <w:r w:rsidRPr="00DB363C">
        <w:rPr>
          <w:rFonts w:ascii="Georgia" w:eastAsia="Times New Roman" w:hAnsi="Georgia" w:cs="Helvetica"/>
          <w:color w:val="333333"/>
          <w:kern w:val="0"/>
          <w:sz w:val="24"/>
          <w:szCs w:val="24"/>
          <w:lang w:eastAsia="en-CA"/>
          <w14:ligatures w14:val="none"/>
        </w:rPr>
        <w:t>Nutrien</w:t>
      </w:r>
      <w:proofErr w:type="spellEnd"/>
      <w:r w:rsidRPr="00DB363C">
        <w:rPr>
          <w:rFonts w:ascii="Georgia" w:eastAsia="Times New Roman" w:hAnsi="Georgia" w:cs="Helvetica"/>
          <w:color w:val="333333"/>
          <w:kern w:val="0"/>
          <w:sz w:val="24"/>
          <w:szCs w:val="24"/>
          <w:lang w:eastAsia="en-CA"/>
          <w14:ligatures w14:val="none"/>
        </w:rPr>
        <w:t xml:space="preserve"> Ltd., Teck Resources, </w:t>
      </w:r>
      <w:proofErr w:type="spellStart"/>
      <w:r w:rsidRPr="00DB363C">
        <w:rPr>
          <w:rFonts w:ascii="Georgia" w:eastAsia="Times New Roman" w:hAnsi="Georgia" w:cs="Helvetica"/>
          <w:color w:val="333333"/>
          <w:kern w:val="0"/>
          <w:sz w:val="24"/>
          <w:szCs w:val="24"/>
          <w:lang w:eastAsia="en-CA"/>
          <w14:ligatures w14:val="none"/>
        </w:rPr>
        <w:t>Altagas</w:t>
      </w:r>
      <w:proofErr w:type="spellEnd"/>
      <w:r w:rsidRPr="00DB363C">
        <w:rPr>
          <w:rFonts w:ascii="Georgia" w:eastAsia="Times New Roman" w:hAnsi="Georgia" w:cs="Helvetica"/>
          <w:color w:val="333333"/>
          <w:kern w:val="0"/>
          <w:sz w:val="24"/>
          <w:szCs w:val="24"/>
          <w:lang w:eastAsia="en-CA"/>
          <w14:ligatures w14:val="none"/>
        </w:rPr>
        <w:t xml:space="preserve"> Ltd., Emera Inc. and CT </w:t>
      </w:r>
      <w:proofErr w:type="spellStart"/>
      <w:r w:rsidRPr="00DB363C">
        <w:rPr>
          <w:rFonts w:ascii="Georgia" w:eastAsia="Times New Roman" w:hAnsi="Georgia" w:cs="Helvetica"/>
          <w:color w:val="333333"/>
          <w:kern w:val="0"/>
          <w:sz w:val="24"/>
          <w:szCs w:val="24"/>
          <w:lang w:eastAsia="en-CA"/>
          <w14:ligatures w14:val="none"/>
        </w:rPr>
        <w:t>Reit</w:t>
      </w:r>
      <w:proofErr w:type="spellEnd"/>
      <w:r w:rsidRPr="00DB363C">
        <w:rPr>
          <w:rFonts w:ascii="Georgia" w:eastAsia="Times New Roman" w:hAnsi="Georgia" w:cs="Helvetica"/>
          <w:color w:val="333333"/>
          <w:kern w:val="0"/>
          <w:sz w:val="24"/>
          <w:szCs w:val="24"/>
          <w:lang w:eastAsia="en-CA"/>
          <w14:ligatures w14:val="none"/>
        </w:rPr>
        <w:t>.</w:t>
      </w:r>
    </w:p>
    <w:p w14:paraId="3A4D0D2C" w14:textId="77777777" w:rsidR="00884072" w:rsidRDefault="00884072"/>
    <w:sectPr w:rsidR="008840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B363C"/>
    <w:rsid w:val="00441136"/>
    <w:rsid w:val="00884072"/>
    <w:rsid w:val="00DB3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9859"/>
  <w15:chartTrackingRefBased/>
  <w15:docId w15:val="{38191DAC-114C-403A-90D6-E68AE439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18373">
      <w:bodyDiv w:val="1"/>
      <w:marLeft w:val="0"/>
      <w:marRight w:val="0"/>
      <w:marTop w:val="0"/>
      <w:marBottom w:val="0"/>
      <w:divBdr>
        <w:top w:val="none" w:sz="0" w:space="0" w:color="auto"/>
        <w:left w:val="none" w:sz="0" w:space="0" w:color="auto"/>
        <w:bottom w:val="none" w:sz="0" w:space="0" w:color="auto"/>
        <w:right w:val="none" w:sz="0" w:space="0" w:color="auto"/>
      </w:divBdr>
      <w:divsChild>
        <w:div w:id="139544072">
          <w:marLeft w:val="0"/>
          <w:marRight w:val="0"/>
          <w:marTop w:val="0"/>
          <w:marBottom w:val="0"/>
          <w:divBdr>
            <w:top w:val="none" w:sz="0" w:space="0" w:color="auto"/>
            <w:left w:val="none" w:sz="0" w:space="0" w:color="auto"/>
            <w:bottom w:val="none" w:sz="0" w:space="0" w:color="auto"/>
            <w:right w:val="none" w:sz="0" w:space="0" w:color="auto"/>
          </w:divBdr>
          <w:divsChild>
            <w:div w:id="424887701">
              <w:marLeft w:val="0"/>
              <w:marRight w:val="0"/>
              <w:marTop w:val="0"/>
              <w:marBottom w:val="0"/>
              <w:divBdr>
                <w:top w:val="none" w:sz="0" w:space="0" w:color="auto"/>
                <w:left w:val="none" w:sz="0" w:space="0" w:color="auto"/>
                <w:bottom w:val="none" w:sz="0" w:space="0" w:color="auto"/>
                <w:right w:val="none" w:sz="0" w:space="0" w:color="auto"/>
              </w:divBdr>
            </w:div>
          </w:divsChild>
        </w:div>
        <w:div w:id="2113278735">
          <w:marLeft w:val="0"/>
          <w:marRight w:val="0"/>
          <w:marTop w:val="0"/>
          <w:marBottom w:val="0"/>
          <w:divBdr>
            <w:top w:val="none" w:sz="0" w:space="0" w:color="auto"/>
            <w:left w:val="none" w:sz="0" w:space="0" w:color="auto"/>
            <w:bottom w:val="none" w:sz="0" w:space="0" w:color="auto"/>
            <w:right w:val="none" w:sz="0" w:space="0" w:color="auto"/>
          </w:divBdr>
          <w:divsChild>
            <w:div w:id="297491382">
              <w:marLeft w:val="0"/>
              <w:marRight w:val="0"/>
              <w:marTop w:val="0"/>
              <w:marBottom w:val="0"/>
              <w:divBdr>
                <w:top w:val="none" w:sz="0" w:space="0" w:color="auto"/>
                <w:left w:val="none" w:sz="0" w:space="0" w:color="auto"/>
                <w:bottom w:val="none" w:sz="0" w:space="0" w:color="auto"/>
                <w:right w:val="none" w:sz="0" w:space="0" w:color="auto"/>
              </w:divBdr>
              <w:divsChild>
                <w:div w:id="2048679626">
                  <w:marLeft w:val="0"/>
                  <w:marRight w:val="0"/>
                  <w:marTop w:val="0"/>
                  <w:marBottom w:val="0"/>
                  <w:divBdr>
                    <w:top w:val="none" w:sz="0" w:space="0" w:color="auto"/>
                    <w:left w:val="none" w:sz="0" w:space="0" w:color="auto"/>
                    <w:bottom w:val="none" w:sz="0" w:space="0" w:color="auto"/>
                    <w:right w:val="none" w:sz="0" w:space="0" w:color="auto"/>
                  </w:divBdr>
                  <w:divsChild>
                    <w:div w:id="1981419267">
                      <w:marLeft w:val="0"/>
                      <w:marRight w:val="0"/>
                      <w:marTop w:val="0"/>
                      <w:marBottom w:val="0"/>
                      <w:divBdr>
                        <w:top w:val="none" w:sz="0" w:space="0" w:color="auto"/>
                        <w:left w:val="none" w:sz="0" w:space="0" w:color="auto"/>
                        <w:bottom w:val="none" w:sz="0" w:space="0" w:color="auto"/>
                        <w:right w:val="none" w:sz="0" w:space="0" w:color="auto"/>
                      </w:divBdr>
                      <w:divsChild>
                        <w:div w:id="809593885">
                          <w:marLeft w:val="0"/>
                          <w:marRight w:val="0"/>
                          <w:marTop w:val="0"/>
                          <w:marBottom w:val="0"/>
                          <w:divBdr>
                            <w:top w:val="none" w:sz="0" w:space="0" w:color="auto"/>
                            <w:left w:val="none" w:sz="0" w:space="0" w:color="auto"/>
                            <w:bottom w:val="none" w:sz="0" w:space="0" w:color="auto"/>
                            <w:right w:val="none" w:sz="0" w:space="0" w:color="auto"/>
                          </w:divBdr>
                        </w:div>
                        <w:div w:id="1184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8580">
              <w:marLeft w:val="0"/>
              <w:marRight w:val="0"/>
              <w:marTop w:val="0"/>
              <w:marBottom w:val="0"/>
              <w:divBdr>
                <w:top w:val="none" w:sz="0" w:space="0" w:color="auto"/>
                <w:left w:val="none" w:sz="0" w:space="0" w:color="auto"/>
                <w:bottom w:val="none" w:sz="0" w:space="0" w:color="auto"/>
                <w:right w:val="none" w:sz="0" w:space="0" w:color="auto"/>
              </w:divBdr>
              <w:divsChild>
                <w:div w:id="2030719186">
                  <w:marLeft w:val="0"/>
                  <w:marRight w:val="0"/>
                  <w:marTop w:val="0"/>
                  <w:marBottom w:val="0"/>
                  <w:divBdr>
                    <w:top w:val="none" w:sz="0" w:space="0" w:color="auto"/>
                    <w:left w:val="none" w:sz="0" w:space="0" w:color="auto"/>
                    <w:bottom w:val="none" w:sz="0" w:space="0" w:color="auto"/>
                    <w:right w:val="none" w:sz="0" w:space="0" w:color="auto"/>
                  </w:divBdr>
                  <w:divsChild>
                    <w:div w:id="1828284933">
                      <w:marLeft w:val="0"/>
                      <w:marRight w:val="0"/>
                      <w:marTop w:val="0"/>
                      <w:marBottom w:val="0"/>
                      <w:divBdr>
                        <w:top w:val="none" w:sz="0" w:space="0" w:color="auto"/>
                        <w:left w:val="none" w:sz="0" w:space="0" w:color="auto"/>
                        <w:bottom w:val="none" w:sz="0" w:space="0" w:color="auto"/>
                        <w:right w:val="none" w:sz="0" w:space="0" w:color="auto"/>
                      </w:divBdr>
                    </w:div>
                  </w:divsChild>
                </w:div>
                <w:div w:id="63645961">
                  <w:marLeft w:val="0"/>
                  <w:marRight w:val="0"/>
                  <w:marTop w:val="0"/>
                  <w:marBottom w:val="0"/>
                  <w:divBdr>
                    <w:top w:val="none" w:sz="0" w:space="0" w:color="auto"/>
                    <w:left w:val="none" w:sz="0" w:space="0" w:color="auto"/>
                    <w:bottom w:val="none" w:sz="0" w:space="0" w:color="auto"/>
                    <w:right w:val="none" w:sz="0" w:space="0" w:color="auto"/>
                  </w:divBdr>
                  <w:divsChild>
                    <w:div w:id="1361737933">
                      <w:marLeft w:val="0"/>
                      <w:marRight w:val="0"/>
                      <w:marTop w:val="0"/>
                      <w:marBottom w:val="0"/>
                      <w:divBdr>
                        <w:top w:val="none" w:sz="0" w:space="0" w:color="auto"/>
                        <w:left w:val="none" w:sz="0" w:space="0" w:color="auto"/>
                        <w:bottom w:val="none" w:sz="0" w:space="0" w:color="auto"/>
                        <w:right w:val="none" w:sz="0" w:space="0" w:color="auto"/>
                      </w:divBdr>
                      <w:divsChild>
                        <w:div w:id="4668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3513">
              <w:marLeft w:val="0"/>
              <w:marRight w:val="0"/>
              <w:marTop w:val="0"/>
              <w:marBottom w:val="0"/>
              <w:divBdr>
                <w:top w:val="none" w:sz="0" w:space="0" w:color="auto"/>
                <w:left w:val="none" w:sz="0" w:space="0" w:color="auto"/>
                <w:bottom w:val="none" w:sz="0" w:space="0" w:color="auto"/>
                <w:right w:val="none" w:sz="0" w:space="0" w:color="auto"/>
              </w:divBdr>
            </w:div>
            <w:div w:id="19068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globeandmail.com/authors/scott-bar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Moran</dc:creator>
  <cp:keywords/>
  <dc:description/>
  <cp:lastModifiedBy>Derek Moran</cp:lastModifiedBy>
  <cp:revision>1</cp:revision>
  <dcterms:created xsi:type="dcterms:W3CDTF">2023-05-01T18:19:00Z</dcterms:created>
  <dcterms:modified xsi:type="dcterms:W3CDTF">2023-05-01T18:20:00Z</dcterms:modified>
</cp:coreProperties>
</file>