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D36F" w14:textId="77777777" w:rsidR="006D3ED7" w:rsidRPr="006D3ED7" w:rsidRDefault="006D3ED7" w:rsidP="006D3ED7">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6D3ED7">
        <w:rPr>
          <w:rFonts w:ascii="Georgia" w:eastAsia="Times New Roman" w:hAnsi="Georgia" w:cs="Helvetica"/>
          <w:color w:val="333333"/>
          <w:kern w:val="36"/>
          <w:sz w:val="48"/>
          <w:szCs w:val="48"/>
          <w:lang w:eastAsia="en-CA"/>
          <w14:ligatures w14:val="none"/>
        </w:rPr>
        <w:t xml:space="preserve">Dividend stocks are a better investment than income properties: BMO </w:t>
      </w:r>
      <w:proofErr w:type="gramStart"/>
      <w:r w:rsidRPr="006D3ED7">
        <w:rPr>
          <w:rFonts w:ascii="Georgia" w:eastAsia="Times New Roman" w:hAnsi="Georgia" w:cs="Helvetica"/>
          <w:color w:val="333333"/>
          <w:kern w:val="36"/>
          <w:sz w:val="48"/>
          <w:szCs w:val="48"/>
          <w:lang w:eastAsia="en-CA"/>
          <w14:ligatures w14:val="none"/>
        </w:rPr>
        <w:t>economist</w:t>
      </w:r>
      <w:proofErr w:type="gramEnd"/>
    </w:p>
    <w:p w14:paraId="38BBFD1A" w14:textId="77777777" w:rsidR="006D3ED7" w:rsidRPr="006D3ED7" w:rsidRDefault="00000000" w:rsidP="006D3ED7">
      <w:pPr>
        <w:shd w:val="clear" w:color="auto" w:fill="FFFFFF"/>
        <w:spacing w:after="0" w:line="240" w:lineRule="auto"/>
        <w:rPr>
          <w:rFonts w:ascii="Helvetica" w:eastAsia="Times New Roman" w:hAnsi="Helvetica" w:cs="Helvetica"/>
          <w:color w:val="333333"/>
          <w:kern w:val="0"/>
          <w:sz w:val="24"/>
          <w:szCs w:val="24"/>
          <w:lang w:eastAsia="en-CA"/>
          <w14:ligatures w14:val="none"/>
        </w:rPr>
      </w:pPr>
      <w:hyperlink r:id="rId4" w:history="1">
        <w:r w:rsidR="006D3ED7" w:rsidRPr="006D3ED7">
          <w:rPr>
            <w:rFonts w:ascii="Helvetica" w:eastAsia="Times New Roman" w:hAnsi="Helvetica" w:cs="Helvetica"/>
            <w:caps/>
            <w:color w:val="0000FF"/>
            <w:kern w:val="0"/>
            <w:sz w:val="24"/>
            <w:szCs w:val="24"/>
            <w:u w:val="single"/>
            <w:lang w:eastAsia="en-CA"/>
            <w14:ligatures w14:val="none"/>
          </w:rPr>
          <w:t>SCOTT BARLOW</w:t>
        </w:r>
      </w:hyperlink>
      <w:r w:rsidR="006D3ED7" w:rsidRPr="006D3ED7">
        <w:rPr>
          <w:rFonts w:ascii="Helvetica" w:eastAsia="Times New Roman" w:hAnsi="Helvetica" w:cs="Helvetica"/>
          <w:caps/>
          <w:color w:val="333333"/>
          <w:kern w:val="0"/>
          <w:sz w:val="24"/>
          <w:szCs w:val="24"/>
          <w:lang w:eastAsia="en-CA"/>
          <w14:ligatures w14:val="none"/>
        </w:rPr>
        <w:t>MARKET STRATEGIST</w:t>
      </w:r>
    </w:p>
    <w:p w14:paraId="1EE995A1" w14:textId="77777777" w:rsidR="006D3ED7" w:rsidRPr="006D3ED7" w:rsidRDefault="006D3ED7" w:rsidP="006D3ED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6D3ED7">
        <w:rPr>
          <w:rFonts w:ascii="Georgia" w:eastAsia="Times New Roman" w:hAnsi="Georgia" w:cs="Helvetica"/>
          <w:color w:val="333333"/>
          <w:spacing w:val="3"/>
          <w:kern w:val="0"/>
          <w:sz w:val="24"/>
          <w:szCs w:val="24"/>
          <w:lang w:eastAsia="en-CA"/>
          <w14:ligatures w14:val="none"/>
        </w:rPr>
        <w:t>Daily roundup of research and analysis from The Globe and Mail’s market strategist Scott Barlow</w:t>
      </w:r>
    </w:p>
    <w:p w14:paraId="021E0A66" w14:textId="77777777" w:rsidR="006D3ED7" w:rsidRPr="006D3ED7" w:rsidRDefault="006D3ED7" w:rsidP="006D3ED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6D3ED7">
        <w:rPr>
          <w:rFonts w:ascii="Georgia" w:eastAsia="Times New Roman" w:hAnsi="Georgia" w:cs="Helvetica"/>
          <w:color w:val="333333"/>
          <w:kern w:val="0"/>
          <w:sz w:val="24"/>
          <w:szCs w:val="24"/>
          <w:lang w:eastAsia="en-CA"/>
          <w14:ligatures w14:val="none"/>
        </w:rPr>
        <w:t>Continuing a theme from </w:t>
      </w:r>
      <w:hyperlink r:id="rId5" w:history="1">
        <w:r w:rsidRPr="006D3ED7">
          <w:rPr>
            <w:rFonts w:ascii="Georgia" w:eastAsia="Times New Roman" w:hAnsi="Georgia" w:cs="Helvetica"/>
            <w:color w:val="0000FF"/>
            <w:kern w:val="0"/>
            <w:sz w:val="24"/>
            <w:szCs w:val="24"/>
            <w:u w:val="single"/>
            <w:lang w:eastAsia="en-CA"/>
            <w14:ligatures w14:val="none"/>
          </w:rPr>
          <w:t>earlier this month</w:t>
        </w:r>
      </w:hyperlink>
      <w:r w:rsidRPr="006D3ED7">
        <w:rPr>
          <w:rFonts w:ascii="Georgia" w:eastAsia="Times New Roman" w:hAnsi="Georgia" w:cs="Helvetica"/>
          <w:color w:val="333333"/>
          <w:kern w:val="0"/>
          <w:sz w:val="24"/>
          <w:szCs w:val="24"/>
          <w:lang w:eastAsia="en-CA"/>
          <w14:ligatures w14:val="none"/>
        </w:rPr>
        <w:t>, BMO senior economist Robert Kavcic compares the yield from fixed income and dividend stocks to an income property,</w:t>
      </w:r>
    </w:p>
    <w:p w14:paraId="5581946A" w14:textId="77777777" w:rsidR="006D3ED7" w:rsidRPr="006D3ED7" w:rsidRDefault="006D3ED7" w:rsidP="006D3ED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6D3ED7">
        <w:rPr>
          <w:rFonts w:ascii="Georgia" w:eastAsia="Times New Roman" w:hAnsi="Georgia" w:cs="Helvetica"/>
          <w:color w:val="333333"/>
          <w:kern w:val="0"/>
          <w:sz w:val="24"/>
          <w:szCs w:val="24"/>
          <w:lang w:eastAsia="en-CA"/>
          <w14:ligatures w14:val="none"/>
        </w:rPr>
        <w:t xml:space="preserve">“The economics of real estate investment get tough on a relative basis given that investors can secure a better yield in dividend </w:t>
      </w:r>
      <w:proofErr w:type="gramStart"/>
      <w:r w:rsidRPr="006D3ED7">
        <w:rPr>
          <w:rFonts w:ascii="Georgia" w:eastAsia="Times New Roman" w:hAnsi="Georgia" w:cs="Helvetica"/>
          <w:color w:val="333333"/>
          <w:kern w:val="0"/>
          <w:sz w:val="24"/>
          <w:szCs w:val="24"/>
          <w:lang w:eastAsia="en-CA"/>
          <w14:ligatures w14:val="none"/>
        </w:rPr>
        <w:t>stocks, or</w:t>
      </w:r>
      <w:proofErr w:type="gramEnd"/>
      <w:r w:rsidRPr="006D3ED7">
        <w:rPr>
          <w:rFonts w:ascii="Georgia" w:eastAsia="Times New Roman" w:hAnsi="Georgia" w:cs="Helvetica"/>
          <w:color w:val="333333"/>
          <w:kern w:val="0"/>
          <w:sz w:val="24"/>
          <w:szCs w:val="24"/>
          <w:lang w:eastAsia="en-CA"/>
          <w14:ligatures w14:val="none"/>
        </w:rPr>
        <w:t xml:space="preserve"> sit tight in risk-free cash/government bonds. The comparison to dividend stocks is an especially interesting one </w:t>
      </w:r>
      <w:r w:rsidRPr="006D3ED7">
        <w:rPr>
          <w:rFonts w:ascii="Georgia" w:eastAsia="Times New Roman" w:hAnsi="Georgia" w:cs="Helvetica"/>
          <w:color w:val="333333"/>
          <w:kern w:val="0"/>
          <w:sz w:val="24"/>
          <w:szCs w:val="24"/>
          <w:highlight w:val="cyan"/>
          <w:lang w:eastAsia="en-CA"/>
          <w14:ligatures w14:val="none"/>
        </w:rPr>
        <w:t xml:space="preserve">because both offer long-term capital appreciation potential, and both will see their payouts grow over time at least in-line with inflation. </w:t>
      </w:r>
      <w:proofErr w:type="gramStart"/>
      <w:r w:rsidRPr="006D3ED7">
        <w:rPr>
          <w:rFonts w:ascii="Georgia" w:eastAsia="Times New Roman" w:hAnsi="Georgia" w:cs="Helvetica"/>
          <w:color w:val="333333"/>
          <w:kern w:val="0"/>
          <w:sz w:val="24"/>
          <w:szCs w:val="24"/>
          <w:highlight w:val="cyan"/>
          <w:lang w:eastAsia="en-CA"/>
          <w14:ligatures w14:val="none"/>
        </w:rPr>
        <w:t>But,</w:t>
      </w:r>
      <w:proofErr w:type="gramEnd"/>
      <w:r w:rsidRPr="006D3ED7">
        <w:rPr>
          <w:rFonts w:ascii="Georgia" w:eastAsia="Times New Roman" w:hAnsi="Georgia" w:cs="Helvetica"/>
          <w:color w:val="333333"/>
          <w:kern w:val="0"/>
          <w:sz w:val="24"/>
          <w:szCs w:val="24"/>
          <w:highlight w:val="cyan"/>
          <w:lang w:eastAsia="en-CA"/>
          <w14:ligatures w14:val="none"/>
        </w:rPr>
        <w:t xml:space="preserve"> dividend investors also benefit from a much lower tax burden; they have access to instant and partial liquidity; and face minimal transaction costs.</w:t>
      </w:r>
      <w:r w:rsidRPr="006D3ED7">
        <w:rPr>
          <w:rFonts w:ascii="Georgia" w:eastAsia="Times New Roman" w:hAnsi="Georgia" w:cs="Helvetica"/>
          <w:color w:val="333333"/>
          <w:kern w:val="0"/>
          <w:sz w:val="24"/>
          <w:szCs w:val="24"/>
          <w:lang w:eastAsia="en-CA"/>
          <w14:ligatures w14:val="none"/>
        </w:rPr>
        <w:t xml:space="preserve"> At the same time, payout risk is generally low compared to rental laws that are tilted heavily in favour of the tenant, along with inefficient backlogs at the Landlord and Tenant Board. Real estate investment should command a risk premium (which it historically has), but current pricing does not offer </w:t>
      </w:r>
      <w:proofErr w:type="gramStart"/>
      <w:r w:rsidRPr="006D3ED7">
        <w:rPr>
          <w:rFonts w:ascii="Georgia" w:eastAsia="Times New Roman" w:hAnsi="Georgia" w:cs="Helvetica"/>
          <w:color w:val="333333"/>
          <w:kern w:val="0"/>
          <w:sz w:val="24"/>
          <w:szCs w:val="24"/>
          <w:lang w:eastAsia="en-CA"/>
          <w14:ligatures w14:val="none"/>
        </w:rPr>
        <w:t>one</w:t>
      </w:r>
      <w:proofErr w:type="gramEnd"/>
      <w:r w:rsidRPr="006D3ED7">
        <w:rPr>
          <w:rFonts w:ascii="Georgia" w:eastAsia="Times New Roman" w:hAnsi="Georgia" w:cs="Helvetica"/>
          <w:color w:val="333333"/>
          <w:kern w:val="0"/>
          <w:sz w:val="24"/>
          <w:szCs w:val="24"/>
          <w:lang w:eastAsia="en-CA"/>
          <w14:ligatures w14:val="none"/>
        </w:rPr>
        <w:t>”</w:t>
      </w:r>
    </w:p>
    <w:p w14:paraId="67278A8A" w14:textId="77777777" w:rsidR="006D3ED7" w:rsidRPr="006D3ED7" w:rsidRDefault="006D3ED7" w:rsidP="006D3ED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6D3ED7">
        <w:rPr>
          <w:rFonts w:ascii="Georgia" w:eastAsia="Times New Roman" w:hAnsi="Georgia" w:cs="Helvetica"/>
          <w:color w:val="333333"/>
          <w:kern w:val="0"/>
          <w:sz w:val="24"/>
          <w:szCs w:val="24"/>
          <w:lang w:eastAsia="en-CA"/>
          <w14:ligatures w14:val="none"/>
        </w:rPr>
        <w:t>***</w:t>
      </w:r>
    </w:p>
    <w:p w14:paraId="72FAAD6A" w14:textId="77777777" w:rsidR="00884072" w:rsidRDefault="00D57F04">
      <w:r>
        <w:t xml:space="preserve">  </w:t>
      </w:r>
    </w:p>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D7"/>
    <w:rsid w:val="00441136"/>
    <w:rsid w:val="006D3ED7"/>
    <w:rsid w:val="00884072"/>
    <w:rsid w:val="00AE6F37"/>
    <w:rsid w:val="00D57F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69C7"/>
  <w15:chartTrackingRefBased/>
  <w15:docId w15:val="{3F090552-45AB-4C84-B336-A37C401E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36547">
      <w:bodyDiv w:val="1"/>
      <w:marLeft w:val="0"/>
      <w:marRight w:val="0"/>
      <w:marTop w:val="0"/>
      <w:marBottom w:val="0"/>
      <w:divBdr>
        <w:top w:val="none" w:sz="0" w:space="0" w:color="auto"/>
        <w:left w:val="none" w:sz="0" w:space="0" w:color="auto"/>
        <w:bottom w:val="none" w:sz="0" w:space="0" w:color="auto"/>
        <w:right w:val="none" w:sz="0" w:space="0" w:color="auto"/>
      </w:divBdr>
      <w:divsChild>
        <w:div w:id="1081949582">
          <w:marLeft w:val="0"/>
          <w:marRight w:val="0"/>
          <w:marTop w:val="0"/>
          <w:marBottom w:val="0"/>
          <w:divBdr>
            <w:top w:val="none" w:sz="0" w:space="0" w:color="auto"/>
            <w:left w:val="none" w:sz="0" w:space="0" w:color="auto"/>
            <w:bottom w:val="none" w:sz="0" w:space="0" w:color="auto"/>
            <w:right w:val="none" w:sz="0" w:space="0" w:color="auto"/>
          </w:divBdr>
          <w:divsChild>
            <w:div w:id="1871450952">
              <w:marLeft w:val="0"/>
              <w:marRight w:val="0"/>
              <w:marTop w:val="0"/>
              <w:marBottom w:val="0"/>
              <w:divBdr>
                <w:top w:val="none" w:sz="0" w:space="0" w:color="auto"/>
                <w:left w:val="none" w:sz="0" w:space="0" w:color="auto"/>
                <w:bottom w:val="none" w:sz="0" w:space="0" w:color="auto"/>
                <w:right w:val="none" w:sz="0" w:space="0" w:color="auto"/>
              </w:divBdr>
            </w:div>
          </w:divsChild>
        </w:div>
        <w:div w:id="2011443080">
          <w:marLeft w:val="0"/>
          <w:marRight w:val="0"/>
          <w:marTop w:val="0"/>
          <w:marBottom w:val="0"/>
          <w:divBdr>
            <w:top w:val="none" w:sz="0" w:space="0" w:color="auto"/>
            <w:left w:val="none" w:sz="0" w:space="0" w:color="auto"/>
            <w:bottom w:val="none" w:sz="0" w:space="0" w:color="auto"/>
            <w:right w:val="none" w:sz="0" w:space="0" w:color="auto"/>
          </w:divBdr>
          <w:divsChild>
            <w:div w:id="1536503776">
              <w:marLeft w:val="0"/>
              <w:marRight w:val="0"/>
              <w:marTop w:val="0"/>
              <w:marBottom w:val="0"/>
              <w:divBdr>
                <w:top w:val="none" w:sz="0" w:space="0" w:color="auto"/>
                <w:left w:val="none" w:sz="0" w:space="0" w:color="auto"/>
                <w:bottom w:val="none" w:sz="0" w:space="0" w:color="auto"/>
                <w:right w:val="none" w:sz="0" w:space="0" w:color="auto"/>
              </w:divBdr>
              <w:divsChild>
                <w:div w:id="1771855175">
                  <w:marLeft w:val="0"/>
                  <w:marRight w:val="0"/>
                  <w:marTop w:val="0"/>
                  <w:marBottom w:val="0"/>
                  <w:divBdr>
                    <w:top w:val="none" w:sz="0" w:space="0" w:color="auto"/>
                    <w:left w:val="none" w:sz="0" w:space="0" w:color="auto"/>
                    <w:bottom w:val="none" w:sz="0" w:space="0" w:color="auto"/>
                    <w:right w:val="none" w:sz="0" w:space="0" w:color="auto"/>
                  </w:divBdr>
                  <w:divsChild>
                    <w:div w:id="129985129">
                      <w:marLeft w:val="0"/>
                      <w:marRight w:val="0"/>
                      <w:marTop w:val="0"/>
                      <w:marBottom w:val="0"/>
                      <w:divBdr>
                        <w:top w:val="none" w:sz="0" w:space="0" w:color="auto"/>
                        <w:left w:val="none" w:sz="0" w:space="0" w:color="auto"/>
                        <w:bottom w:val="none" w:sz="0" w:space="0" w:color="auto"/>
                        <w:right w:val="none" w:sz="0" w:space="0" w:color="auto"/>
                      </w:divBdr>
                      <w:divsChild>
                        <w:div w:id="2531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3348">
                  <w:marLeft w:val="0"/>
                  <w:marRight w:val="0"/>
                  <w:marTop w:val="0"/>
                  <w:marBottom w:val="0"/>
                  <w:divBdr>
                    <w:top w:val="none" w:sz="0" w:space="0" w:color="auto"/>
                    <w:left w:val="none" w:sz="0" w:space="0" w:color="auto"/>
                    <w:bottom w:val="none" w:sz="0" w:space="0" w:color="auto"/>
                    <w:right w:val="none" w:sz="0" w:space="0" w:color="auto"/>
                  </w:divBdr>
                </w:div>
              </w:divsChild>
            </w:div>
            <w:div w:id="2054191386">
              <w:marLeft w:val="0"/>
              <w:marRight w:val="0"/>
              <w:marTop w:val="0"/>
              <w:marBottom w:val="0"/>
              <w:divBdr>
                <w:top w:val="none" w:sz="0" w:space="0" w:color="auto"/>
                <w:left w:val="none" w:sz="0" w:space="0" w:color="auto"/>
                <w:bottom w:val="none" w:sz="0" w:space="0" w:color="auto"/>
                <w:right w:val="none" w:sz="0" w:space="0" w:color="auto"/>
              </w:divBdr>
              <w:divsChild>
                <w:div w:id="662701482">
                  <w:marLeft w:val="0"/>
                  <w:marRight w:val="0"/>
                  <w:marTop w:val="0"/>
                  <w:marBottom w:val="0"/>
                  <w:divBdr>
                    <w:top w:val="none" w:sz="0" w:space="0" w:color="auto"/>
                    <w:left w:val="none" w:sz="0" w:space="0" w:color="auto"/>
                    <w:bottom w:val="none" w:sz="0" w:space="0" w:color="auto"/>
                    <w:right w:val="none" w:sz="0" w:space="0" w:color="auto"/>
                  </w:divBdr>
                  <w:divsChild>
                    <w:div w:id="951210420">
                      <w:marLeft w:val="0"/>
                      <w:marRight w:val="0"/>
                      <w:marTop w:val="0"/>
                      <w:marBottom w:val="0"/>
                      <w:divBdr>
                        <w:top w:val="none" w:sz="0" w:space="0" w:color="auto"/>
                        <w:left w:val="none" w:sz="0" w:space="0" w:color="auto"/>
                        <w:bottom w:val="none" w:sz="0" w:space="0" w:color="auto"/>
                        <w:right w:val="none" w:sz="0" w:space="0" w:color="auto"/>
                      </w:divBdr>
                    </w:div>
                    <w:div w:id="1682273633">
                      <w:marLeft w:val="0"/>
                      <w:marRight w:val="0"/>
                      <w:marTop w:val="0"/>
                      <w:marBottom w:val="0"/>
                      <w:divBdr>
                        <w:top w:val="none" w:sz="0" w:space="0" w:color="auto"/>
                        <w:left w:val="none" w:sz="0" w:space="0" w:color="auto"/>
                        <w:bottom w:val="none" w:sz="0" w:space="0" w:color="auto"/>
                        <w:right w:val="none" w:sz="0" w:space="0" w:color="auto"/>
                      </w:divBdr>
                      <w:divsChild>
                        <w:div w:id="2679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970">
                  <w:marLeft w:val="0"/>
                  <w:marRight w:val="0"/>
                  <w:marTop w:val="0"/>
                  <w:marBottom w:val="0"/>
                  <w:divBdr>
                    <w:top w:val="none" w:sz="0" w:space="0" w:color="auto"/>
                    <w:left w:val="none" w:sz="0" w:space="0" w:color="auto"/>
                    <w:bottom w:val="none" w:sz="0" w:space="0" w:color="auto"/>
                    <w:right w:val="none" w:sz="0" w:space="0" w:color="auto"/>
                  </w:divBdr>
                  <w:divsChild>
                    <w:div w:id="325865732">
                      <w:marLeft w:val="0"/>
                      <w:marRight w:val="0"/>
                      <w:marTop w:val="0"/>
                      <w:marBottom w:val="0"/>
                      <w:divBdr>
                        <w:top w:val="none" w:sz="0" w:space="0" w:color="auto"/>
                        <w:left w:val="none" w:sz="0" w:space="0" w:color="auto"/>
                        <w:bottom w:val="none" w:sz="0" w:space="0" w:color="auto"/>
                        <w:right w:val="none" w:sz="0" w:space="0" w:color="auto"/>
                      </w:divBdr>
                      <w:divsChild>
                        <w:div w:id="12605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lobeandmail.com/investing/markets/inside-the-market/article-income-properties-no-longer-economical-bmo-economist/" TargetMode="External"/><Relationship Id="rId4" Type="http://schemas.openxmlformats.org/officeDocument/2006/relationships/hyperlink" Target="https://www.theglobeandmail.com/authors/scott-bar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Smarter Financial Planning</cp:lastModifiedBy>
  <cp:revision>2</cp:revision>
  <dcterms:created xsi:type="dcterms:W3CDTF">2023-08-21T13:34:00Z</dcterms:created>
  <dcterms:modified xsi:type="dcterms:W3CDTF">2023-08-21T13:34:00Z</dcterms:modified>
</cp:coreProperties>
</file>