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F2CF9" w14:textId="77777777" w:rsidR="00A71CF6" w:rsidRPr="00A71CF6" w:rsidRDefault="00A71CF6" w:rsidP="00A71CF6">
      <w:pPr>
        <w:shd w:val="clear" w:color="auto" w:fill="FFFFFF"/>
        <w:spacing w:after="0" w:line="240" w:lineRule="auto"/>
        <w:outlineLvl w:val="0"/>
        <w:rPr>
          <w:rFonts w:ascii="Georgia" w:eastAsia="Times New Roman" w:hAnsi="Georgia" w:cs="Helvetica"/>
          <w:color w:val="333333"/>
          <w:kern w:val="36"/>
          <w:sz w:val="48"/>
          <w:szCs w:val="48"/>
          <w:lang w:eastAsia="en-CA"/>
          <w14:ligatures w14:val="none"/>
        </w:rPr>
      </w:pPr>
      <w:r w:rsidRPr="00A71CF6">
        <w:rPr>
          <w:rFonts w:ascii="Georgia" w:eastAsia="Times New Roman" w:hAnsi="Georgia" w:cs="Helvetica"/>
          <w:color w:val="333333"/>
          <w:kern w:val="36"/>
          <w:sz w:val="48"/>
          <w:szCs w:val="48"/>
          <w:lang w:eastAsia="en-CA"/>
          <w14:ligatures w14:val="none"/>
        </w:rPr>
        <w:t>David Rosenberg: Why the long-term outlook for Canadian stocks is looking rosy (short-term, not so much)</w:t>
      </w:r>
    </w:p>
    <w:p w14:paraId="1A0D3DC0" w14:textId="77777777" w:rsidR="00A71CF6" w:rsidRPr="00A71CF6" w:rsidRDefault="00A71CF6" w:rsidP="00A71CF6">
      <w:pPr>
        <w:shd w:val="clear" w:color="auto" w:fill="FFFFFF"/>
        <w:spacing w:after="0" w:line="240" w:lineRule="auto"/>
        <w:rPr>
          <w:rFonts w:ascii="Helvetica" w:eastAsia="Times New Roman" w:hAnsi="Helvetica" w:cs="Helvetica"/>
          <w:caps/>
          <w:color w:val="595959"/>
          <w:kern w:val="0"/>
          <w:sz w:val="24"/>
          <w:szCs w:val="24"/>
          <w:lang w:eastAsia="en-CA"/>
          <w14:ligatures w14:val="none"/>
        </w:rPr>
      </w:pPr>
      <w:r w:rsidRPr="00A71CF6">
        <w:rPr>
          <w:rFonts w:ascii="Helvetica" w:eastAsia="Times New Roman" w:hAnsi="Helvetica" w:cs="Helvetica"/>
          <w:caps/>
          <w:color w:val="191919"/>
          <w:kern w:val="0"/>
          <w:sz w:val="24"/>
          <w:szCs w:val="24"/>
          <w:lang w:eastAsia="en-CA"/>
          <w14:ligatures w14:val="none"/>
        </w:rPr>
        <w:t>DAVID ROSENBERG AND BRENDAN LIVINGSTONE</w:t>
      </w:r>
    </w:p>
    <w:p w14:paraId="0906BACE" w14:textId="77777777" w:rsidR="00A71CF6" w:rsidRPr="00A71CF6" w:rsidRDefault="00A71CF6" w:rsidP="00A71CF6">
      <w:pPr>
        <w:shd w:val="clear" w:color="auto" w:fill="FFFFFF"/>
        <w:spacing w:after="0" w:line="240" w:lineRule="auto"/>
        <w:rPr>
          <w:rFonts w:ascii="Helvetica" w:eastAsia="Times New Roman" w:hAnsi="Helvetica" w:cs="Helvetica"/>
          <w:caps/>
          <w:color w:val="595959"/>
          <w:kern w:val="0"/>
          <w:sz w:val="24"/>
          <w:szCs w:val="24"/>
          <w:lang w:eastAsia="en-CA"/>
          <w14:ligatures w14:val="none"/>
        </w:rPr>
      </w:pPr>
      <w:r w:rsidRPr="00A71CF6">
        <w:rPr>
          <w:rFonts w:ascii="Helvetica" w:eastAsia="Times New Roman" w:hAnsi="Helvetica" w:cs="Helvetica"/>
          <w:caps/>
          <w:color w:val="595959"/>
          <w:kern w:val="0"/>
          <w:sz w:val="24"/>
          <w:szCs w:val="24"/>
          <w:lang w:eastAsia="en-CA"/>
          <w14:ligatures w14:val="none"/>
        </w:rPr>
        <w:t>UPDATED MARCH 15, 2023</w:t>
      </w:r>
    </w:p>
    <w:p w14:paraId="62393252" w14:textId="77777777" w:rsidR="00A71CF6" w:rsidRPr="00A71CF6" w:rsidRDefault="00A71CF6" w:rsidP="00A71CF6">
      <w:pPr>
        <w:shd w:val="clear" w:color="auto" w:fill="FFFFFF"/>
        <w:spacing w:before="100" w:beforeAutospacing="1" w:after="100" w:afterAutospacing="1" w:line="240" w:lineRule="auto"/>
        <w:rPr>
          <w:rFonts w:ascii="Georgia" w:eastAsia="Times New Roman" w:hAnsi="Georgia" w:cs="Helvetica"/>
          <w:color w:val="333333"/>
          <w:kern w:val="0"/>
          <w:sz w:val="24"/>
          <w:szCs w:val="24"/>
          <w:lang w:eastAsia="en-CA"/>
          <w14:ligatures w14:val="none"/>
        </w:rPr>
      </w:pPr>
      <w:r w:rsidRPr="00A71CF6">
        <w:rPr>
          <w:rFonts w:ascii="Georgia" w:eastAsia="Times New Roman" w:hAnsi="Georgia" w:cs="Helvetica"/>
          <w:color w:val="333333"/>
          <w:kern w:val="0"/>
          <w:sz w:val="24"/>
          <w:szCs w:val="24"/>
          <w:lang w:eastAsia="en-CA"/>
          <w14:ligatures w14:val="none"/>
        </w:rPr>
        <w:t>The Canadian economy faces a challenging path forward, as the impact of higher interest rates is poised to weigh further on a highly leveraged consumer and an overextended housing market. In addition, with global recessionary pressures on the rise, Canada’s export dependency makes it vulnerable to external demand shocks.</w:t>
      </w:r>
    </w:p>
    <w:p w14:paraId="474C6A8D" w14:textId="77777777" w:rsidR="00A71CF6" w:rsidRPr="00A71CF6" w:rsidRDefault="00A71CF6" w:rsidP="00A71CF6">
      <w:pPr>
        <w:shd w:val="clear" w:color="auto" w:fill="FFFFFF"/>
        <w:spacing w:before="100" w:beforeAutospacing="1" w:after="100" w:afterAutospacing="1" w:line="240" w:lineRule="auto"/>
        <w:rPr>
          <w:rFonts w:ascii="Georgia" w:eastAsia="Times New Roman" w:hAnsi="Georgia" w:cs="Helvetica"/>
          <w:color w:val="333333"/>
          <w:kern w:val="0"/>
          <w:sz w:val="24"/>
          <w:szCs w:val="24"/>
          <w:lang w:eastAsia="en-CA"/>
          <w14:ligatures w14:val="none"/>
        </w:rPr>
      </w:pPr>
      <w:r w:rsidRPr="00A71CF6">
        <w:rPr>
          <w:rFonts w:ascii="Georgia" w:eastAsia="Times New Roman" w:hAnsi="Georgia" w:cs="Helvetica"/>
          <w:color w:val="333333"/>
          <w:kern w:val="0"/>
          <w:sz w:val="24"/>
          <w:szCs w:val="24"/>
          <w:lang w:eastAsia="en-CA"/>
          <w14:ligatures w14:val="none"/>
        </w:rPr>
        <w:t>But there are also some reasons to be positive: The Bank of Canada’s rate hikes are now on hold, and inflation is showing more signs of going off the boil. Furthermore, the Canadian dollar is cheap by historical standards (leading to improved international competitiveness), and strong immigration flows will serve as a tailwind to long-term growth prospects.</w:t>
      </w:r>
    </w:p>
    <w:p w14:paraId="59A0793D" w14:textId="77777777" w:rsidR="00A71CF6" w:rsidRPr="00A71CF6" w:rsidRDefault="00A71CF6" w:rsidP="00A71CF6">
      <w:pPr>
        <w:shd w:val="clear" w:color="auto" w:fill="FFFFFF"/>
        <w:spacing w:before="100" w:beforeAutospacing="1" w:after="100" w:afterAutospacing="1" w:line="240" w:lineRule="auto"/>
        <w:rPr>
          <w:rFonts w:ascii="Georgia" w:eastAsia="Times New Roman" w:hAnsi="Georgia" w:cs="Helvetica"/>
          <w:color w:val="333333"/>
          <w:kern w:val="0"/>
          <w:sz w:val="24"/>
          <w:szCs w:val="24"/>
          <w:lang w:eastAsia="en-CA"/>
          <w14:ligatures w14:val="none"/>
        </w:rPr>
      </w:pPr>
      <w:r w:rsidRPr="00A71CF6">
        <w:rPr>
          <w:rFonts w:ascii="Georgia" w:eastAsia="Times New Roman" w:hAnsi="Georgia" w:cs="Helvetica"/>
          <w:color w:val="333333"/>
          <w:kern w:val="0"/>
          <w:sz w:val="24"/>
          <w:szCs w:val="24"/>
          <w:lang w:eastAsia="en-CA"/>
          <w14:ligatures w14:val="none"/>
        </w:rPr>
        <w:t>Therefore, while we expect equities to see continued selling pressure because of tighter financial conditions and rising recession odds, we believe long-term investors could use future periods of weakness to add to Canadian stocks, given their attractive valuations. That’s especially so for exporters and companies with high international exposure that stand to benefit from a weak currency.</w:t>
      </w:r>
    </w:p>
    <w:p w14:paraId="7C580714" w14:textId="77777777" w:rsidR="00A71CF6" w:rsidRPr="00A71CF6" w:rsidRDefault="00A71CF6" w:rsidP="00A71CF6">
      <w:pPr>
        <w:shd w:val="clear" w:color="auto" w:fill="FFFFFF"/>
        <w:spacing w:before="100" w:beforeAutospacing="1" w:after="100" w:afterAutospacing="1" w:line="240" w:lineRule="auto"/>
        <w:rPr>
          <w:rFonts w:ascii="Georgia" w:eastAsia="Times New Roman" w:hAnsi="Georgia" w:cs="Helvetica"/>
          <w:color w:val="333333"/>
          <w:kern w:val="0"/>
          <w:sz w:val="24"/>
          <w:szCs w:val="24"/>
          <w:lang w:eastAsia="en-CA"/>
          <w14:ligatures w14:val="none"/>
        </w:rPr>
      </w:pPr>
      <w:r w:rsidRPr="00A71CF6">
        <w:rPr>
          <w:rFonts w:ascii="Georgia" w:eastAsia="Times New Roman" w:hAnsi="Georgia" w:cs="Helvetica"/>
          <w:color w:val="333333"/>
          <w:kern w:val="0"/>
          <w:sz w:val="24"/>
          <w:szCs w:val="24"/>
          <w:lang w:eastAsia="en-CA"/>
          <w14:ligatures w14:val="none"/>
        </w:rPr>
        <w:t>In addition, in an environment of slowing growth and inflation – as well as a central bank that has moved to the sidelines – we believe long-dated government bonds are an attractive option.</w:t>
      </w:r>
    </w:p>
    <w:p w14:paraId="58147603" w14:textId="77777777" w:rsidR="00A71CF6" w:rsidRPr="00A71CF6" w:rsidRDefault="00A71CF6" w:rsidP="00A71CF6">
      <w:pPr>
        <w:shd w:val="clear" w:color="auto" w:fill="FFFFFF"/>
        <w:spacing w:before="100" w:beforeAutospacing="1" w:after="100" w:afterAutospacing="1" w:line="240" w:lineRule="auto"/>
        <w:rPr>
          <w:rFonts w:ascii="Georgia" w:eastAsia="Times New Roman" w:hAnsi="Georgia" w:cs="Helvetica"/>
          <w:color w:val="333333"/>
          <w:kern w:val="0"/>
          <w:sz w:val="24"/>
          <w:szCs w:val="24"/>
          <w:lang w:eastAsia="en-CA"/>
          <w14:ligatures w14:val="none"/>
        </w:rPr>
      </w:pPr>
      <w:r w:rsidRPr="00A71CF6">
        <w:rPr>
          <w:rFonts w:ascii="Georgia" w:eastAsia="Times New Roman" w:hAnsi="Georgia" w:cs="Helvetica"/>
          <w:color w:val="333333"/>
          <w:kern w:val="0"/>
          <w:sz w:val="24"/>
          <w:szCs w:val="24"/>
          <w:lang w:eastAsia="en-CA"/>
          <w14:ligatures w14:val="none"/>
        </w:rPr>
        <w:t>The principal risk for the Canadian economy stems from just how vulnerable it is to higher interest rates. Unlike U.S. consumers, who deleveraged in the aftermath of the Great Recession, Canadians added to their debt load significantly. This dynamic is evident in the respective household debt-to-disposable income ratios: While it sits at 96.4 per cent in the U.S., down from a peak of 129.4 per cent in the recession, it is hovering near an all-time high in Canada, at 168.1 per cent.</w:t>
      </w:r>
    </w:p>
    <w:p w14:paraId="240032B9" w14:textId="77777777" w:rsidR="00A71CF6" w:rsidRPr="00A71CF6" w:rsidRDefault="00A71CF6" w:rsidP="00A71CF6">
      <w:pPr>
        <w:shd w:val="clear" w:color="auto" w:fill="FFFFFF"/>
        <w:spacing w:before="100" w:beforeAutospacing="1" w:after="100" w:afterAutospacing="1" w:line="240" w:lineRule="auto"/>
        <w:rPr>
          <w:rFonts w:ascii="Georgia" w:eastAsia="Times New Roman" w:hAnsi="Georgia" w:cs="Helvetica"/>
          <w:color w:val="333333"/>
          <w:kern w:val="0"/>
          <w:sz w:val="24"/>
          <w:szCs w:val="24"/>
          <w:lang w:eastAsia="en-CA"/>
          <w14:ligatures w14:val="none"/>
        </w:rPr>
      </w:pPr>
      <w:r w:rsidRPr="00A71CF6">
        <w:rPr>
          <w:rFonts w:ascii="Georgia" w:eastAsia="Times New Roman" w:hAnsi="Georgia" w:cs="Helvetica"/>
          <w:color w:val="333333"/>
          <w:kern w:val="0"/>
          <w:sz w:val="24"/>
          <w:szCs w:val="24"/>
          <w:lang w:eastAsia="en-CA"/>
          <w14:ligatures w14:val="none"/>
        </w:rPr>
        <w:t>Clearly, given this massive debt load, as well as the increase in interest rates, servicing this debt is becoming more of a challenge. The household debt service ratio is back to 14.3 per cent, up from a low of 12.5 per cent in the aftermath of the pandemic. With debt payments taking up an increasingly large chunk of incomes, this means less money available for consumer spending (especially discretionary expenditures).</w:t>
      </w:r>
    </w:p>
    <w:p w14:paraId="36A6B0AF" w14:textId="77777777" w:rsidR="00A71CF6" w:rsidRPr="00A71CF6" w:rsidRDefault="00A71CF6" w:rsidP="00A71CF6">
      <w:pPr>
        <w:shd w:val="clear" w:color="auto" w:fill="FFFFFF"/>
        <w:spacing w:before="100" w:beforeAutospacing="1" w:after="100" w:afterAutospacing="1" w:line="240" w:lineRule="auto"/>
        <w:rPr>
          <w:rFonts w:ascii="Georgia" w:eastAsia="Times New Roman" w:hAnsi="Georgia" w:cs="Helvetica"/>
          <w:color w:val="333333"/>
          <w:kern w:val="0"/>
          <w:sz w:val="24"/>
          <w:szCs w:val="24"/>
          <w:lang w:eastAsia="en-CA"/>
          <w14:ligatures w14:val="none"/>
        </w:rPr>
      </w:pPr>
      <w:r w:rsidRPr="00A71CF6">
        <w:rPr>
          <w:rFonts w:ascii="Georgia" w:eastAsia="Times New Roman" w:hAnsi="Georgia" w:cs="Helvetica"/>
          <w:color w:val="333333"/>
          <w:kern w:val="0"/>
          <w:sz w:val="24"/>
          <w:szCs w:val="24"/>
          <w:lang w:eastAsia="en-CA"/>
          <w14:ligatures w14:val="none"/>
        </w:rPr>
        <w:t xml:space="preserve">Beyond the economy’s high sensitivity to interest rates via consumer spending, residential investment (the segment of the economy with the greatest response to changes in monetary policy) is still two standard deviations above its long-term average. From our standpoint, this suggests the housing market will continue to act as a </w:t>
      </w:r>
      <w:r w:rsidRPr="00A71CF6">
        <w:rPr>
          <w:rFonts w:ascii="Georgia" w:eastAsia="Times New Roman" w:hAnsi="Georgia" w:cs="Helvetica"/>
          <w:color w:val="333333"/>
          <w:kern w:val="0"/>
          <w:sz w:val="24"/>
          <w:szCs w:val="24"/>
          <w:lang w:eastAsia="en-CA"/>
          <w14:ligatures w14:val="none"/>
        </w:rPr>
        <w:lastRenderedPageBreak/>
        <w:t>headwind for growth – especially as mortgages are renewed at much higher rates (the typical mortgage term in Canada is five years, compared with 30 in the U.S.). The full impact of this is still to be felt.</w:t>
      </w:r>
    </w:p>
    <w:p w14:paraId="33D4FC5F" w14:textId="77777777" w:rsidR="00A71CF6" w:rsidRPr="00A71CF6" w:rsidRDefault="00A71CF6" w:rsidP="00A71CF6">
      <w:pPr>
        <w:shd w:val="clear" w:color="auto" w:fill="FFFFFF"/>
        <w:spacing w:before="100" w:beforeAutospacing="1" w:after="100" w:afterAutospacing="1" w:line="240" w:lineRule="auto"/>
        <w:rPr>
          <w:rFonts w:ascii="Georgia" w:eastAsia="Times New Roman" w:hAnsi="Georgia" w:cs="Helvetica"/>
          <w:color w:val="333333"/>
          <w:kern w:val="0"/>
          <w:sz w:val="24"/>
          <w:szCs w:val="24"/>
          <w:lang w:eastAsia="en-CA"/>
          <w14:ligatures w14:val="none"/>
        </w:rPr>
      </w:pPr>
      <w:r w:rsidRPr="00A71CF6">
        <w:rPr>
          <w:rFonts w:ascii="Georgia" w:eastAsia="Times New Roman" w:hAnsi="Georgia" w:cs="Helvetica"/>
          <w:color w:val="333333"/>
          <w:kern w:val="0"/>
          <w:sz w:val="24"/>
          <w:szCs w:val="24"/>
          <w:lang w:eastAsia="en-CA"/>
          <w14:ligatures w14:val="none"/>
        </w:rPr>
        <w:t>Canada’s export dependency is also a clear negative in an environment where the risk of a global recession is very high and rising. Exports account for 34 per cent of GDP in Canada – roughly three times the percentage in the U.S. Therefore, this country is far more susceptible to global developments, so a worldwide economic downturn will be felt more acutely.</w:t>
      </w:r>
    </w:p>
    <w:p w14:paraId="0CE29757" w14:textId="77777777" w:rsidR="00A71CF6" w:rsidRPr="00A71CF6" w:rsidRDefault="00A71CF6" w:rsidP="00A71CF6">
      <w:pPr>
        <w:shd w:val="clear" w:color="auto" w:fill="FFFFFF"/>
        <w:spacing w:before="100" w:beforeAutospacing="1" w:after="100" w:afterAutospacing="1" w:line="240" w:lineRule="auto"/>
        <w:rPr>
          <w:rFonts w:ascii="Georgia" w:eastAsia="Times New Roman" w:hAnsi="Georgia" w:cs="Helvetica"/>
          <w:color w:val="333333"/>
          <w:kern w:val="0"/>
          <w:sz w:val="24"/>
          <w:szCs w:val="24"/>
          <w:lang w:eastAsia="en-CA"/>
          <w14:ligatures w14:val="none"/>
        </w:rPr>
      </w:pPr>
      <w:r w:rsidRPr="00A71CF6">
        <w:rPr>
          <w:rFonts w:ascii="Georgia" w:eastAsia="Times New Roman" w:hAnsi="Georgia" w:cs="Helvetica"/>
          <w:color w:val="333333"/>
          <w:kern w:val="0"/>
          <w:sz w:val="24"/>
          <w:szCs w:val="24"/>
          <w:lang w:eastAsia="en-CA"/>
          <w14:ligatures w14:val="none"/>
        </w:rPr>
        <w:t>But inflation is showing clear signs of rolling over – and at a much quicker pace than is the case in the United States. Indeed, over the past three months, Canadian CPI – excluding food and energy – has grown at an annualized rate of 3.1 per cent, slowing from a peak of 7.7 per cent in May of last year; by way of comparison, over the same period, U.S. core CPI has grown at an annualized pace of 4.6 per cent.</w:t>
      </w:r>
    </w:p>
    <w:p w14:paraId="6BD49B60" w14:textId="77777777" w:rsidR="00A71CF6" w:rsidRPr="00A71CF6" w:rsidRDefault="00A71CF6" w:rsidP="00A71CF6">
      <w:pPr>
        <w:shd w:val="clear" w:color="auto" w:fill="FFFFFF"/>
        <w:spacing w:before="100" w:beforeAutospacing="1" w:after="100" w:afterAutospacing="1" w:line="240" w:lineRule="auto"/>
        <w:rPr>
          <w:rFonts w:ascii="Georgia" w:eastAsia="Times New Roman" w:hAnsi="Georgia" w:cs="Helvetica"/>
          <w:color w:val="333333"/>
          <w:kern w:val="0"/>
          <w:sz w:val="24"/>
          <w:szCs w:val="24"/>
          <w:lang w:eastAsia="en-CA"/>
          <w14:ligatures w14:val="none"/>
        </w:rPr>
      </w:pPr>
      <w:r w:rsidRPr="00A71CF6">
        <w:rPr>
          <w:rFonts w:ascii="Georgia" w:eastAsia="Times New Roman" w:hAnsi="Georgia" w:cs="Helvetica"/>
          <w:color w:val="333333"/>
          <w:kern w:val="0"/>
          <w:sz w:val="24"/>
          <w:szCs w:val="24"/>
          <w:lang w:eastAsia="en-CA"/>
          <w14:ligatures w14:val="none"/>
        </w:rPr>
        <w:t>The marked deceleration in Canadian inflation has gone a long way toward validating the Bank of Canada’s recent pause. Alongside a more dovish central bank – vis-à-vis the U.S. Federal Reserve – interest-rate differentials have widened. This dynamic has weighed on the Canadian dollar, taking it to one standard deviation below its long-term average against the greenback. A weaker currency will improve Canada’s international competitiveness and serve as a key source of support for the country’s manufacturers and exporters. There are also likely to be positive long-term growth implications (via capital deepening) from a larger and more competitive manufacturing sector.</w:t>
      </w:r>
    </w:p>
    <w:p w14:paraId="5659A99C" w14:textId="77777777" w:rsidR="00A71CF6" w:rsidRPr="00A71CF6" w:rsidRDefault="00A71CF6" w:rsidP="00A71CF6">
      <w:pPr>
        <w:shd w:val="clear" w:color="auto" w:fill="FFFFFF"/>
        <w:spacing w:before="100" w:beforeAutospacing="1" w:after="100" w:afterAutospacing="1" w:line="240" w:lineRule="auto"/>
        <w:rPr>
          <w:rFonts w:ascii="Georgia" w:eastAsia="Times New Roman" w:hAnsi="Georgia" w:cs="Helvetica"/>
          <w:color w:val="333333"/>
          <w:kern w:val="0"/>
          <w:sz w:val="24"/>
          <w:szCs w:val="24"/>
          <w:lang w:eastAsia="en-CA"/>
          <w14:ligatures w14:val="none"/>
        </w:rPr>
      </w:pPr>
      <w:r w:rsidRPr="00A71CF6">
        <w:rPr>
          <w:rFonts w:ascii="Georgia" w:eastAsia="Times New Roman" w:hAnsi="Georgia" w:cs="Helvetica"/>
          <w:color w:val="333333"/>
          <w:kern w:val="0"/>
          <w:sz w:val="24"/>
          <w:szCs w:val="24"/>
          <w:lang w:eastAsia="en-CA"/>
          <w14:ligatures w14:val="none"/>
        </w:rPr>
        <w:t>Finally, with Canada dramatically boosting its immigration levels – to offset declining fertility rates – the country is likely to see stronger labour-force growth than the United States. By 2025, the annual immigration rate in Canada will be 12.5 per 1,000 residents, quadruple what the U.S. expects. This is another long-term positive for economic growth in Canada, although not without its share of challenges (housing affordability, which is already dire, is likely to become even more of a challenge). Consequently, the extent of the positive growth boost remains to be seen – and will ultimately depend a lot on policy solutions to deal with this population surge (increasing housing supply etc.).</w:t>
      </w:r>
    </w:p>
    <w:p w14:paraId="48CCA9B3" w14:textId="77777777" w:rsidR="00A71CF6" w:rsidRPr="00A71CF6" w:rsidRDefault="00A71CF6" w:rsidP="00A71CF6">
      <w:pPr>
        <w:shd w:val="clear" w:color="auto" w:fill="FFFFFF"/>
        <w:spacing w:before="100" w:beforeAutospacing="1" w:after="100" w:afterAutospacing="1" w:line="240" w:lineRule="auto"/>
        <w:rPr>
          <w:rFonts w:ascii="Georgia" w:eastAsia="Times New Roman" w:hAnsi="Georgia" w:cs="Helvetica"/>
          <w:color w:val="333333"/>
          <w:kern w:val="0"/>
          <w:sz w:val="24"/>
          <w:szCs w:val="24"/>
          <w:lang w:eastAsia="en-CA"/>
          <w14:ligatures w14:val="none"/>
        </w:rPr>
      </w:pPr>
      <w:r w:rsidRPr="00A71CF6">
        <w:rPr>
          <w:rFonts w:ascii="Georgia" w:eastAsia="Times New Roman" w:hAnsi="Georgia" w:cs="Helvetica"/>
          <w:color w:val="333333"/>
          <w:kern w:val="0"/>
          <w:sz w:val="24"/>
          <w:szCs w:val="24"/>
          <w:lang w:eastAsia="en-CA"/>
          <w14:ligatures w14:val="none"/>
        </w:rPr>
        <w:t>Bottom line: There are good reasons to be negative on the Canadian economy at the current time. But it isn’t all bad news: Inflation has rolled over sharply, allowing the Bank of Canada to move to the sidelines. This has resulted in widening interest-rate differentials with the U.S., taking the Canadian dollar well below its long-term average.</w:t>
      </w:r>
    </w:p>
    <w:p w14:paraId="6E9724AC" w14:textId="77777777" w:rsidR="00A71CF6" w:rsidRPr="00A71CF6" w:rsidRDefault="00A71CF6" w:rsidP="00A71CF6">
      <w:pPr>
        <w:shd w:val="clear" w:color="auto" w:fill="FFFFFF"/>
        <w:spacing w:before="100" w:beforeAutospacing="1" w:after="100" w:afterAutospacing="1" w:line="240" w:lineRule="auto"/>
        <w:rPr>
          <w:rFonts w:ascii="Georgia" w:eastAsia="Times New Roman" w:hAnsi="Georgia" w:cs="Helvetica"/>
          <w:color w:val="333333"/>
          <w:kern w:val="0"/>
          <w:sz w:val="24"/>
          <w:szCs w:val="24"/>
          <w:lang w:eastAsia="en-CA"/>
          <w14:ligatures w14:val="none"/>
        </w:rPr>
      </w:pPr>
      <w:r w:rsidRPr="00A71CF6">
        <w:rPr>
          <w:rFonts w:ascii="Georgia" w:eastAsia="Times New Roman" w:hAnsi="Georgia" w:cs="Helvetica"/>
          <w:color w:val="333333"/>
          <w:kern w:val="0"/>
          <w:sz w:val="24"/>
          <w:szCs w:val="24"/>
          <w:lang w:eastAsia="en-CA"/>
          <w14:ligatures w14:val="none"/>
        </w:rPr>
        <w:t>Against this backdrop, notwithstanding the challenges facing the Canadian economy, we believe there are still good opportunities for investors. For starters, the easing of inflationary pressures and slowdown in economic activity – as well as the pause from the BoC – make long-dated government bonds very appealing.</w:t>
      </w:r>
    </w:p>
    <w:p w14:paraId="3766C2DC" w14:textId="77777777" w:rsidR="00A71CF6" w:rsidRPr="00A71CF6" w:rsidRDefault="00A71CF6" w:rsidP="00A71CF6">
      <w:pPr>
        <w:shd w:val="clear" w:color="auto" w:fill="FFFFFF"/>
        <w:spacing w:before="100" w:beforeAutospacing="1" w:after="100" w:afterAutospacing="1" w:line="240" w:lineRule="auto"/>
        <w:rPr>
          <w:rFonts w:ascii="Georgia" w:eastAsia="Times New Roman" w:hAnsi="Georgia" w:cs="Helvetica"/>
          <w:color w:val="333333"/>
          <w:kern w:val="0"/>
          <w:sz w:val="24"/>
          <w:szCs w:val="24"/>
          <w:lang w:eastAsia="en-CA"/>
          <w14:ligatures w14:val="none"/>
        </w:rPr>
      </w:pPr>
      <w:r w:rsidRPr="00A71CF6">
        <w:rPr>
          <w:rFonts w:ascii="Georgia" w:eastAsia="Times New Roman" w:hAnsi="Georgia" w:cs="Helvetica"/>
          <w:color w:val="333333"/>
          <w:kern w:val="0"/>
          <w:sz w:val="24"/>
          <w:szCs w:val="24"/>
          <w:lang w:eastAsia="en-CA"/>
          <w14:ligatures w14:val="none"/>
        </w:rPr>
        <w:t xml:space="preserve">Furthermore, for equity investors, the fact of the matter is there is already a lot of “bad news” embedded in current prices. After all, the TSX Composite Index trades at just 13 </w:t>
      </w:r>
      <w:r w:rsidRPr="00A71CF6">
        <w:rPr>
          <w:rFonts w:ascii="Georgia" w:eastAsia="Times New Roman" w:hAnsi="Georgia" w:cs="Helvetica"/>
          <w:color w:val="333333"/>
          <w:kern w:val="0"/>
          <w:sz w:val="24"/>
          <w:szCs w:val="24"/>
          <w:lang w:eastAsia="en-CA"/>
          <w14:ligatures w14:val="none"/>
        </w:rPr>
        <w:lastRenderedPageBreak/>
        <w:t>times forward earnings versus 18 times for the S&amp;P 500 (whereas they have traded much more in line historically).</w:t>
      </w:r>
    </w:p>
    <w:p w14:paraId="7C4E4CCE" w14:textId="77777777" w:rsidR="00A71CF6" w:rsidRPr="00A71CF6" w:rsidRDefault="00A71CF6" w:rsidP="00A71CF6">
      <w:pPr>
        <w:shd w:val="clear" w:color="auto" w:fill="FFFFFF"/>
        <w:spacing w:before="100" w:beforeAutospacing="1" w:after="100" w:afterAutospacing="1" w:line="240" w:lineRule="auto"/>
        <w:rPr>
          <w:rFonts w:ascii="Georgia" w:eastAsia="Times New Roman" w:hAnsi="Georgia" w:cs="Helvetica"/>
          <w:color w:val="333333"/>
          <w:kern w:val="0"/>
          <w:sz w:val="24"/>
          <w:szCs w:val="24"/>
          <w:lang w:eastAsia="en-CA"/>
          <w14:ligatures w14:val="none"/>
        </w:rPr>
      </w:pPr>
      <w:r w:rsidRPr="00A71CF6">
        <w:rPr>
          <w:rFonts w:ascii="Georgia" w:eastAsia="Times New Roman" w:hAnsi="Georgia" w:cs="Helvetica"/>
          <w:color w:val="333333"/>
          <w:kern w:val="0"/>
          <w:sz w:val="24"/>
          <w:szCs w:val="24"/>
          <w:lang w:eastAsia="en-CA"/>
          <w14:ligatures w14:val="none"/>
        </w:rPr>
        <w:t>As a result, although we believe equities are likely to see continued downside (on tighter financial conditions/growing recession risks), we think the Canadian equity market has decent value for long-term investors.</w:t>
      </w:r>
    </w:p>
    <w:p w14:paraId="62E587B3" w14:textId="77777777" w:rsidR="00A71CF6" w:rsidRPr="00A71CF6" w:rsidRDefault="00A71CF6" w:rsidP="00A71CF6">
      <w:pPr>
        <w:shd w:val="clear" w:color="auto" w:fill="FFFFFF"/>
        <w:spacing w:before="100" w:beforeAutospacing="1" w:after="100" w:afterAutospacing="1" w:line="240" w:lineRule="auto"/>
        <w:rPr>
          <w:rFonts w:ascii="Georgia" w:eastAsia="Times New Roman" w:hAnsi="Georgia" w:cs="Helvetica"/>
          <w:color w:val="333333"/>
          <w:kern w:val="0"/>
          <w:sz w:val="24"/>
          <w:szCs w:val="24"/>
          <w:lang w:eastAsia="en-CA"/>
          <w14:ligatures w14:val="none"/>
        </w:rPr>
      </w:pPr>
      <w:r w:rsidRPr="00A71CF6">
        <w:rPr>
          <w:rFonts w:ascii="Georgia" w:eastAsia="Times New Roman" w:hAnsi="Georgia" w:cs="Helvetica"/>
          <w:color w:val="333333"/>
          <w:kern w:val="0"/>
          <w:sz w:val="24"/>
          <w:szCs w:val="24"/>
          <w:lang w:eastAsia="en-CA"/>
          <w14:ligatures w14:val="none"/>
        </w:rPr>
        <w:t>However, in light of the weakness in the Canadian dollar, and the softness in domestic demand, we would be inclined to screen for companies that derive a high share of their revenues internationally.</w:t>
      </w:r>
    </w:p>
    <w:p w14:paraId="1A93CA74" w14:textId="77777777" w:rsidR="00A71CF6" w:rsidRPr="00A71CF6" w:rsidRDefault="00A71CF6" w:rsidP="00A71CF6">
      <w:pPr>
        <w:shd w:val="clear" w:color="auto" w:fill="FFFFFF"/>
        <w:spacing w:before="100" w:beforeAutospacing="1" w:after="100" w:afterAutospacing="1" w:line="240" w:lineRule="auto"/>
        <w:rPr>
          <w:rFonts w:ascii="Georgia" w:eastAsia="Times New Roman" w:hAnsi="Georgia" w:cs="Helvetica"/>
          <w:color w:val="333333"/>
          <w:kern w:val="0"/>
          <w:sz w:val="24"/>
          <w:szCs w:val="24"/>
          <w:lang w:eastAsia="en-CA"/>
          <w14:ligatures w14:val="none"/>
        </w:rPr>
      </w:pPr>
      <w:r w:rsidRPr="00A71CF6">
        <w:rPr>
          <w:rFonts w:ascii="Georgia" w:eastAsia="Times New Roman" w:hAnsi="Georgia" w:cs="Helvetica"/>
          <w:color w:val="333333"/>
          <w:kern w:val="0"/>
          <w:sz w:val="24"/>
          <w:szCs w:val="24"/>
          <w:lang w:eastAsia="en-CA"/>
          <w14:ligatures w14:val="none"/>
        </w:rPr>
        <w:t>David Rosenberg is founder of </w:t>
      </w:r>
      <w:hyperlink r:id="rId4" w:history="1">
        <w:r w:rsidRPr="00A71CF6">
          <w:rPr>
            <w:rFonts w:ascii="Georgia" w:eastAsia="Times New Roman" w:hAnsi="Georgia" w:cs="Helvetica"/>
            <w:color w:val="0000FF"/>
            <w:kern w:val="0"/>
            <w:sz w:val="24"/>
            <w:szCs w:val="24"/>
            <w:u w:val="single"/>
            <w:lang w:eastAsia="en-CA"/>
            <w14:ligatures w14:val="none"/>
          </w:rPr>
          <w:t>Rosenberg Research</w:t>
        </w:r>
      </w:hyperlink>
      <w:r w:rsidRPr="00A71CF6">
        <w:rPr>
          <w:rFonts w:ascii="Georgia" w:eastAsia="Times New Roman" w:hAnsi="Georgia" w:cs="Helvetica"/>
          <w:color w:val="333333"/>
          <w:kern w:val="0"/>
          <w:sz w:val="24"/>
          <w:szCs w:val="24"/>
          <w:lang w:eastAsia="en-CA"/>
          <w14:ligatures w14:val="none"/>
        </w:rPr>
        <w:t>, and author of the daily economic report, Breakfast with Dave. Brendan Livingstone is senior market strategist with the firm.</w:t>
      </w:r>
    </w:p>
    <w:p w14:paraId="32CA7140" w14:textId="77777777" w:rsidR="00884072" w:rsidRDefault="00884072"/>
    <w:sectPr w:rsidR="0088407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CF6"/>
    <w:rsid w:val="001D06E7"/>
    <w:rsid w:val="00441136"/>
    <w:rsid w:val="00884072"/>
    <w:rsid w:val="00A71C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CF538"/>
  <w15:chartTrackingRefBased/>
  <w15:docId w15:val="{EBEB8A77-7706-4593-839F-9DA89AF60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622038">
      <w:bodyDiv w:val="1"/>
      <w:marLeft w:val="0"/>
      <w:marRight w:val="0"/>
      <w:marTop w:val="0"/>
      <w:marBottom w:val="0"/>
      <w:divBdr>
        <w:top w:val="none" w:sz="0" w:space="0" w:color="auto"/>
        <w:left w:val="none" w:sz="0" w:space="0" w:color="auto"/>
        <w:bottom w:val="none" w:sz="0" w:space="0" w:color="auto"/>
        <w:right w:val="none" w:sz="0" w:space="0" w:color="auto"/>
      </w:divBdr>
      <w:divsChild>
        <w:div w:id="456067735">
          <w:marLeft w:val="0"/>
          <w:marRight w:val="0"/>
          <w:marTop w:val="0"/>
          <w:marBottom w:val="0"/>
          <w:divBdr>
            <w:top w:val="none" w:sz="0" w:space="0" w:color="auto"/>
            <w:left w:val="none" w:sz="0" w:space="0" w:color="auto"/>
            <w:bottom w:val="none" w:sz="0" w:space="0" w:color="auto"/>
            <w:right w:val="none" w:sz="0" w:space="0" w:color="auto"/>
          </w:divBdr>
          <w:divsChild>
            <w:div w:id="195429434">
              <w:marLeft w:val="0"/>
              <w:marRight w:val="0"/>
              <w:marTop w:val="0"/>
              <w:marBottom w:val="0"/>
              <w:divBdr>
                <w:top w:val="none" w:sz="0" w:space="0" w:color="auto"/>
                <w:left w:val="none" w:sz="0" w:space="0" w:color="auto"/>
                <w:bottom w:val="none" w:sz="0" w:space="0" w:color="auto"/>
                <w:right w:val="none" w:sz="0" w:space="0" w:color="auto"/>
              </w:divBdr>
            </w:div>
          </w:divsChild>
        </w:div>
        <w:div w:id="607935613">
          <w:marLeft w:val="0"/>
          <w:marRight w:val="0"/>
          <w:marTop w:val="0"/>
          <w:marBottom w:val="0"/>
          <w:divBdr>
            <w:top w:val="none" w:sz="0" w:space="0" w:color="auto"/>
            <w:left w:val="none" w:sz="0" w:space="0" w:color="auto"/>
            <w:bottom w:val="none" w:sz="0" w:space="0" w:color="auto"/>
            <w:right w:val="none" w:sz="0" w:space="0" w:color="auto"/>
          </w:divBdr>
          <w:divsChild>
            <w:div w:id="1323924848">
              <w:marLeft w:val="0"/>
              <w:marRight w:val="0"/>
              <w:marTop w:val="0"/>
              <w:marBottom w:val="0"/>
              <w:divBdr>
                <w:top w:val="single" w:sz="6" w:space="0" w:color="E5E5E5"/>
                <w:left w:val="none" w:sz="0" w:space="0" w:color="auto"/>
                <w:bottom w:val="none" w:sz="0" w:space="0" w:color="auto"/>
                <w:right w:val="none" w:sz="0" w:space="0" w:color="auto"/>
              </w:divBdr>
              <w:divsChild>
                <w:div w:id="1751076545">
                  <w:marLeft w:val="0"/>
                  <w:marRight w:val="0"/>
                  <w:marTop w:val="0"/>
                  <w:marBottom w:val="0"/>
                  <w:divBdr>
                    <w:top w:val="none" w:sz="0" w:space="0" w:color="auto"/>
                    <w:left w:val="none" w:sz="0" w:space="0" w:color="auto"/>
                    <w:bottom w:val="none" w:sz="0" w:space="0" w:color="auto"/>
                    <w:right w:val="none" w:sz="0" w:space="0" w:color="auto"/>
                  </w:divBdr>
                  <w:divsChild>
                    <w:div w:id="1520002338">
                      <w:marLeft w:val="0"/>
                      <w:marRight w:val="0"/>
                      <w:marTop w:val="0"/>
                      <w:marBottom w:val="0"/>
                      <w:divBdr>
                        <w:top w:val="none" w:sz="0" w:space="0" w:color="auto"/>
                        <w:left w:val="none" w:sz="0" w:space="0" w:color="auto"/>
                        <w:bottom w:val="none" w:sz="0" w:space="0" w:color="auto"/>
                        <w:right w:val="none" w:sz="0" w:space="0" w:color="auto"/>
                      </w:divBdr>
                      <w:divsChild>
                        <w:div w:id="1355888088">
                          <w:marLeft w:val="0"/>
                          <w:marRight w:val="0"/>
                          <w:marTop w:val="0"/>
                          <w:marBottom w:val="0"/>
                          <w:divBdr>
                            <w:top w:val="none" w:sz="0" w:space="0" w:color="auto"/>
                            <w:left w:val="none" w:sz="0" w:space="0" w:color="auto"/>
                            <w:bottom w:val="none" w:sz="0" w:space="0" w:color="auto"/>
                            <w:right w:val="none" w:sz="0" w:space="0" w:color="auto"/>
                          </w:divBdr>
                        </w:div>
                        <w:div w:id="733815866">
                          <w:marLeft w:val="0"/>
                          <w:marRight w:val="0"/>
                          <w:marTop w:val="0"/>
                          <w:marBottom w:val="0"/>
                          <w:divBdr>
                            <w:top w:val="none" w:sz="0" w:space="0" w:color="auto"/>
                            <w:left w:val="none" w:sz="0" w:space="0" w:color="auto"/>
                            <w:bottom w:val="none" w:sz="0" w:space="0" w:color="auto"/>
                            <w:right w:val="none" w:sz="0" w:space="0" w:color="auto"/>
                          </w:divBdr>
                        </w:div>
                        <w:div w:id="175492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96692">
              <w:marLeft w:val="0"/>
              <w:marRight w:val="0"/>
              <w:marTop w:val="0"/>
              <w:marBottom w:val="0"/>
              <w:divBdr>
                <w:top w:val="none" w:sz="0" w:space="0" w:color="auto"/>
                <w:left w:val="none" w:sz="0" w:space="0" w:color="auto"/>
                <w:bottom w:val="none" w:sz="0" w:space="0" w:color="auto"/>
                <w:right w:val="none" w:sz="0" w:space="0" w:color="auto"/>
              </w:divBdr>
              <w:divsChild>
                <w:div w:id="1913812138">
                  <w:marLeft w:val="0"/>
                  <w:marRight w:val="0"/>
                  <w:marTop w:val="0"/>
                  <w:marBottom w:val="0"/>
                  <w:divBdr>
                    <w:top w:val="none" w:sz="0" w:space="0" w:color="auto"/>
                    <w:left w:val="none" w:sz="0" w:space="0" w:color="auto"/>
                    <w:bottom w:val="none" w:sz="0" w:space="0" w:color="auto"/>
                    <w:right w:val="none" w:sz="0" w:space="0" w:color="auto"/>
                  </w:divBdr>
                  <w:divsChild>
                    <w:div w:id="177112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1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osenbergresear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989</Words>
  <Characters>5643</Characters>
  <Application>Microsoft Office Word</Application>
  <DocSecurity>0</DocSecurity>
  <Lines>47</Lines>
  <Paragraphs>13</Paragraphs>
  <ScaleCrop>false</ScaleCrop>
  <Company/>
  <LinksUpToDate>false</LinksUpToDate>
  <CharactersWithSpaces>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Moran</dc:creator>
  <cp:keywords/>
  <dc:description/>
  <cp:lastModifiedBy>Smarter Financial Planning</cp:lastModifiedBy>
  <cp:revision>2</cp:revision>
  <dcterms:created xsi:type="dcterms:W3CDTF">2023-03-24T22:59:00Z</dcterms:created>
  <dcterms:modified xsi:type="dcterms:W3CDTF">2023-03-24T22:59:00Z</dcterms:modified>
</cp:coreProperties>
</file>